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0F172A"/>
          <w:sz w:val="26"/>
        </w:rPr>
        <w:t>MEMORIAL DE RESPUESTA, OBJECIÓN MOTIVADA Y LEVANTAMIENTO DE GLOSAS MÉDICAS</w:t>
        <w:br/>
      </w:r>
      <w:r>
        <w:rPr>
          <w:rFonts w:ascii="Calibri" w:hAnsi="Calibri"/>
          <w:i/>
          <w:color w:val="64748B"/>
          <w:sz w:val="19"/>
        </w:rPr>
        <w:t>Régimen de Auditoría y Conciliación Res. 2284/2023 · Dec. 441/2022 · Ley 1438/2011 · Ley 1751/2015</w:t>
      </w:r>
    </w:p>
    <w:p/>
    <w:p>
      <w:pPr>
        <w:spacing w:line="276" w:lineRule="auto"/>
      </w:pPr>
      <w:r>
        <w:rPr>
          <w:rFonts w:ascii="Calibri" w:hAnsi="Calibri"/>
          <w:b/>
          <w:color w:val="0F172A"/>
          <w:sz w:val="20"/>
        </w:rPr>
        <w:t>Señores:</w:t>
        <w:br/>
        <w:t>GERENCIA DE AUDITORÍA MÉDICA, CUENTAS Y CONCILIACIONES</w:t>
        <w:br/>
        <w:t>NUEVA EPS S.A.</w:t>
        <w:br/>
        <w:t>NIT: 900.156.264-2</w:t>
        <w:br/>
        <w:t>Ciudad y Referencia: Notificación de Glosas Cuentas Médicas Radicación Agosto 2026</w:t>
        <w:br/>
      </w:r>
    </w:p>
    <w:p>
      <w:pPr>
        <w:spacing w:line="276" w:lineRule="auto"/>
        <w:jc w:val="both"/>
      </w:pPr>
      <w:r>
        <w:rPr>
          <w:rFonts w:ascii="Calibri" w:hAnsi="Calibri"/>
          <w:sz w:val="20"/>
        </w:rPr>
        <w:t>MANUEL ENRIQUE PRADA FORERO, mayor de edad, identificado como aparece al pie de mi firma, abogado en ejercicio con Tarjeta Profesional No. 176.633 del C.S. de la Judicatura, actuando en mi condición de apoderado especial de la institución CLÍNICA METROPOLITANA DE ESPECIALIDADES S.A.S., identificada con NIT 900.543.210-1 y Código de Habilitación REPS No. 680010123401, por medio del presente memorial descorro en tiempo hábil y oportuno el traslado de las glosas formuladas por su entidad, presentando formal OBJECIÓN MOTIVADA Y SUBSANACIÓN TÉCNICA DOCUMENTAL conforme al estándar imperativo de la Resolución 2284 de 2023, Decreto 441 de 2022 y artículos 56 y 57 de la Ley 1438 de 2011, con sustento en los siguientes hechos y fundamentos de derecho:</w:t>
      </w:r>
    </w:p>
    <w:p>
      <w:pPr>
        <w:spacing w:line="276" w:lineRule="auto"/>
      </w:pPr>
      <w:r>
        <w:rPr>
          <w:rFonts w:ascii="Calibri" w:hAnsi="Calibri"/>
          <w:b/>
          <w:color w:val="0F172A"/>
          <w:sz w:val="22"/>
        </w:rPr>
        <w:t>I. RESUMEN EJECUTIVO Y TRAZABILIDAD FINANCIERA DE LA CUENTA</w:t>
        <w:br/>
      </w:r>
    </w:p>
    <w:p>
      <w:pPr>
        <w:spacing w:line="264" w:lineRule="auto"/>
        <w:ind w:left="288"/>
      </w:pPr>
      <w:r>
        <w:rPr>
          <w:rFonts w:ascii="Calibri" w:hAnsi="Calibri"/>
          <w:b/>
          <w:sz w:val="20"/>
        </w:rPr>
        <w:t xml:space="preserve">• Valor Total Facturado Auditado: </w:t>
      </w:r>
      <w:r>
        <w:rPr>
          <w:rFonts w:ascii="Calibri" w:hAnsi="Calibri"/>
          <w:sz w:val="20"/>
        </w:rPr>
        <w:t>$120.000.000 COP (100.0%)</w:t>
      </w:r>
    </w:p>
    <w:p>
      <w:pPr>
        <w:spacing w:line="264" w:lineRule="auto"/>
        <w:ind w:left="288"/>
      </w:pPr>
      <w:r>
        <w:rPr>
          <w:rFonts w:ascii="Calibri" w:hAnsi="Calibri"/>
          <w:b/>
          <w:sz w:val="20"/>
        </w:rPr>
        <w:t xml:space="preserve">• Valor Total Notificado en Glosas EPS: </w:t>
      </w:r>
      <w:r>
        <w:rPr>
          <w:rFonts w:ascii="Calibri" w:hAnsi="Calibri"/>
          <w:sz w:val="20"/>
        </w:rPr>
        <w:t>$45.000.000 COP (Tasa de Glosa: 37.50%)</w:t>
      </w:r>
    </w:p>
    <w:p>
      <w:pPr>
        <w:spacing w:line="264" w:lineRule="auto"/>
        <w:ind w:left="288"/>
      </w:pPr>
      <w:r>
        <w:rPr>
          <w:rFonts w:ascii="Calibri" w:hAnsi="Calibri"/>
          <w:b/>
          <w:sz w:val="20"/>
        </w:rPr>
        <w:t xml:space="preserve">• Valor Glosas Aceptadas por IPS (Nota Crédito): </w:t>
      </w:r>
      <w:r>
        <w:rPr>
          <w:rFonts w:ascii="Calibri" w:hAnsi="Calibri"/>
          <w:sz w:val="20"/>
        </w:rPr>
        <w:t>$2.500.000 COP (5.56% del valor glosado)</w:t>
      </w:r>
    </w:p>
    <w:p>
      <w:pPr>
        <w:spacing w:line="264" w:lineRule="auto"/>
        <w:ind w:left="288"/>
      </w:pPr>
      <w:r>
        <w:rPr>
          <w:rFonts w:ascii="Calibri" w:hAnsi="Calibri"/>
          <w:b/>
          <w:sz w:val="20"/>
        </w:rPr>
        <w:t xml:space="preserve">• Valor Glosas Objetadas y Subsanadas (Cobro Reclamado): </w:t>
      </w:r>
      <w:r>
        <w:rPr>
          <w:rFonts w:ascii="Calibri" w:hAnsi="Calibri"/>
          <w:sz w:val="20"/>
        </w:rPr>
        <w:t>$42.500.000 COP (94.44% del valor glosado)</w:t>
      </w:r>
    </w:p>
    <w:p>
      <w:r>
        <w:rPr>
          <w:rFonts w:ascii="Calibri" w:hAnsi="Calibri"/>
          <w:b/>
          <w:color w:val="0F172A"/>
          <w:sz w:val="22"/>
        </w:rPr>
        <w:t>II. TABLA PERICIAL Y DETERMINISTA DE OBJECIÓN (RESOLUCIÓN 2284 DE 2023)</w:t>
        <w:br/>
      </w:r>
    </w:p>
    <w:tbl>
      <w:tblPr>
        <w:tblW w:type="auto" w:w="0"/>
        <w:jc w:val="center"/>
        <w:tblLook w:firstColumn="1" w:firstRow="1" w:lastColumn="0" w:lastRow="0" w:noHBand="0" w:noVBand="1" w:val="04A0"/>
      </w:tblPr>
      <w:tblGrid>
        <w:gridCol w:w="1345"/>
        <w:gridCol w:w="1345"/>
        <w:gridCol w:w="1345"/>
        <w:gridCol w:w="1345"/>
        <w:gridCol w:w="1345"/>
        <w:gridCol w:w="1345"/>
        <w:gridCol w:w="1345"/>
      </w:tblGrid>
      <w:tr>
        <w:tc>
          <w:tcPr>
            <w:tcW w:type="dxa" w:w="1224"/>
            <w:tcMar>
              <w:top w:w="80" w:type="dxa"/>
              <w:bottom w:w="80" w:type="dxa"/>
              <w:left w:w="100" w:type="dxa"/>
              <w:right w:w="100" w:type="dxa"/>
            </w:tcMar>
            <w:shd w:fill="0F172A"/>
          </w:tcPr>
          <w:p>
            <w:pPr>
              <w:jc w:val="center"/>
            </w:pPr>
            <w:r>
              <w:rPr>
                <w:rFonts w:ascii="Calibri" w:hAnsi="Calibri"/>
                <w:b/>
                <w:color w:val="FFFFFF"/>
                <w:sz w:val="17"/>
              </w:rPr>
              <w:t>Factura</w:t>
            </w:r>
          </w:p>
        </w:tc>
        <w:tc>
          <w:tcPr>
            <w:tcW w:type="dxa" w:w="1080"/>
            <w:tcMar>
              <w:top w:w="80" w:type="dxa"/>
              <w:bottom w:w="80" w:type="dxa"/>
              <w:left w:w="100" w:type="dxa"/>
              <w:right w:w="100" w:type="dxa"/>
            </w:tcMar>
            <w:shd w:fill="0F172A"/>
          </w:tcPr>
          <w:p>
            <w:pPr>
              <w:jc w:val="center"/>
            </w:pPr>
            <w:r>
              <w:rPr>
                <w:rFonts w:ascii="Calibri" w:hAnsi="Calibri"/>
                <w:b/>
                <w:color w:val="FFFFFF"/>
                <w:sz w:val="17"/>
              </w:rPr>
              <w:t>Radic.</w:t>
            </w:r>
          </w:p>
        </w:tc>
        <w:tc>
          <w:tcPr>
            <w:tcW w:type="dxa" w:w="792"/>
            <w:tcMar>
              <w:top w:w="80" w:type="dxa"/>
              <w:bottom w:w="80" w:type="dxa"/>
              <w:left w:w="100" w:type="dxa"/>
              <w:right w:w="100" w:type="dxa"/>
            </w:tcMar>
            <w:shd w:fill="0F172A"/>
          </w:tcPr>
          <w:p>
            <w:pPr>
              <w:jc w:val="center"/>
            </w:pPr>
            <w:r>
              <w:rPr>
                <w:rFonts w:ascii="Calibri" w:hAnsi="Calibri"/>
                <w:b/>
                <w:color w:val="FFFFFF"/>
                <w:sz w:val="17"/>
              </w:rPr>
              <w:t>Cód.</w:t>
            </w:r>
          </w:p>
        </w:tc>
        <w:tc>
          <w:tcPr>
            <w:tcW w:type="dxa" w:w="2664"/>
            <w:tcMar>
              <w:top w:w="80" w:type="dxa"/>
              <w:bottom w:w="80" w:type="dxa"/>
              <w:left w:w="100" w:type="dxa"/>
              <w:right w:w="100" w:type="dxa"/>
            </w:tcMar>
            <w:shd w:fill="0F172A"/>
          </w:tcPr>
          <w:p>
            <w:pPr>
              <w:jc w:val="left"/>
            </w:pPr>
            <w:r>
              <w:rPr>
                <w:rFonts w:ascii="Calibri" w:hAnsi="Calibri"/>
                <w:b/>
                <w:color w:val="FFFFFF"/>
                <w:sz w:val="17"/>
              </w:rPr>
              <w:t>Causal Notificada EPS</w:t>
            </w:r>
          </w:p>
        </w:tc>
        <w:tc>
          <w:tcPr>
            <w:tcW w:type="dxa" w:w="1368"/>
            <w:tcMar>
              <w:top w:w="80" w:type="dxa"/>
              <w:bottom w:w="80" w:type="dxa"/>
              <w:left w:w="100" w:type="dxa"/>
              <w:right w:w="100" w:type="dxa"/>
            </w:tcMar>
            <w:shd w:fill="0F172A"/>
          </w:tcPr>
          <w:p>
            <w:pPr>
              <w:jc w:val="right"/>
            </w:pPr>
            <w:r>
              <w:rPr>
                <w:rFonts w:ascii="Calibri" w:hAnsi="Calibri"/>
                <w:b/>
                <w:color w:val="FFFFFF"/>
                <w:sz w:val="17"/>
              </w:rPr>
              <w:t>Glosado ($)</w:t>
            </w:r>
          </w:p>
        </w:tc>
        <w:tc>
          <w:tcPr>
            <w:tcW w:type="dxa" w:w="1368"/>
            <w:tcMar>
              <w:top w:w="80" w:type="dxa"/>
              <w:bottom w:w="80" w:type="dxa"/>
              <w:left w:w="100" w:type="dxa"/>
              <w:right w:w="100" w:type="dxa"/>
            </w:tcMar>
            <w:shd w:fill="0F172A"/>
          </w:tcPr>
          <w:p>
            <w:pPr>
              <w:jc w:val="right"/>
            </w:pPr>
            <w:r>
              <w:rPr>
                <w:rFonts w:ascii="Calibri" w:hAnsi="Calibri"/>
                <w:b/>
                <w:color w:val="FFFFFF"/>
                <w:sz w:val="17"/>
              </w:rPr>
              <w:t>Objetado ($)</w:t>
            </w:r>
          </w:p>
        </w:tc>
        <w:tc>
          <w:tcPr>
            <w:tcW w:type="dxa" w:w="2160"/>
            <w:tcMar>
              <w:top w:w="80" w:type="dxa"/>
              <w:bottom w:w="80" w:type="dxa"/>
              <w:left w:w="100" w:type="dxa"/>
              <w:right w:w="100" w:type="dxa"/>
            </w:tcMar>
            <w:shd w:fill="0F172A"/>
          </w:tcPr>
          <w:p>
            <w:pPr>
              <w:jc w:val="left"/>
            </w:pPr>
            <w:r>
              <w:rPr>
                <w:rFonts w:ascii="Calibri" w:hAnsi="Calibri"/>
                <w:b/>
                <w:color w:val="FFFFFF"/>
                <w:sz w:val="17"/>
              </w:rPr>
              <w:t>Cód. Rpta / Dictamen</w:t>
            </w:r>
          </w:p>
        </w:tc>
      </w:tr>
      <w:tr>
        <w:tc>
          <w:tcPr>
            <w:tcW w:type="dxa" w:w="1224"/>
            <w:tcMar>
              <w:top w:w="80" w:type="dxa"/>
              <w:bottom w:w="80" w:type="dxa"/>
              <w:left w:w="100" w:type="dxa"/>
              <w:right w:w="100" w:type="dxa"/>
            </w:tcMar>
            <w:shd w:fill="F8FAFC"/>
          </w:tcPr>
          <w:p>
            <w:pPr>
              <w:jc w:val="center"/>
            </w:pPr>
            <w:r>
              <w:rPr>
                <w:rFonts w:ascii="Calibri" w:hAnsi="Calibri"/>
                <w:sz w:val="17"/>
              </w:rPr>
              <w:t>FE-4011</w:t>
            </w:r>
          </w:p>
        </w:tc>
        <w:tc>
          <w:tcPr>
            <w:tcW w:type="dxa" w:w="1080"/>
            <w:tcMar>
              <w:top w:w="80" w:type="dxa"/>
              <w:bottom w:w="80" w:type="dxa"/>
              <w:left w:w="100" w:type="dxa"/>
              <w:right w:w="100" w:type="dxa"/>
            </w:tcMar>
            <w:shd w:fill="F8FAFC"/>
          </w:tcPr>
          <w:p>
            <w:pPr>
              <w:jc w:val="center"/>
            </w:pPr>
            <w:r>
              <w:rPr>
                <w:rFonts w:ascii="Calibri" w:hAnsi="Calibri"/>
                <w:sz w:val="17"/>
              </w:rPr>
              <w:t>01/08/26</w:t>
            </w:r>
          </w:p>
        </w:tc>
        <w:tc>
          <w:tcPr>
            <w:tcW w:type="dxa" w:w="792"/>
            <w:tcMar>
              <w:top w:w="80" w:type="dxa"/>
              <w:bottom w:w="80" w:type="dxa"/>
              <w:left w:w="100" w:type="dxa"/>
              <w:right w:w="100" w:type="dxa"/>
            </w:tcMar>
            <w:shd w:fill="F8FAFC"/>
          </w:tcPr>
          <w:p>
            <w:pPr>
              <w:jc w:val="center"/>
            </w:pPr>
            <w:r>
              <w:rPr>
                <w:rFonts w:ascii="Calibri" w:hAnsi="Calibri"/>
                <w:sz w:val="17"/>
              </w:rPr>
              <w:t>G01</w:t>
            </w:r>
          </w:p>
        </w:tc>
        <w:tc>
          <w:tcPr>
            <w:tcW w:type="dxa" w:w="2664"/>
            <w:tcMar>
              <w:top w:w="80" w:type="dxa"/>
              <w:bottom w:w="80" w:type="dxa"/>
              <w:left w:w="100" w:type="dxa"/>
              <w:right w:w="100" w:type="dxa"/>
            </w:tcMar>
            <w:shd w:fill="F8FAFC"/>
          </w:tcPr>
          <w:p>
            <w:pPr>
              <w:jc w:val="left"/>
            </w:pPr>
            <w:r>
              <w:rPr>
                <w:rFonts w:ascii="Calibri" w:hAnsi="Calibri"/>
                <w:sz w:val="17"/>
              </w:rPr>
              <w:t>Diferencia liquidación sala cirugía</w:t>
            </w:r>
          </w:p>
        </w:tc>
        <w:tc>
          <w:tcPr>
            <w:tcW w:type="dxa" w:w="1368"/>
            <w:tcMar>
              <w:top w:w="80" w:type="dxa"/>
              <w:bottom w:w="80" w:type="dxa"/>
              <w:left w:w="100" w:type="dxa"/>
              <w:right w:w="100" w:type="dxa"/>
            </w:tcMar>
            <w:shd w:fill="F8FAFC"/>
          </w:tcPr>
          <w:p>
            <w:pPr>
              <w:jc w:val="right"/>
            </w:pPr>
            <w:r>
              <w:rPr>
                <w:rFonts w:ascii="Calibri" w:hAnsi="Calibri"/>
                <w:sz w:val="17"/>
              </w:rPr>
              <w:t>$4.200.000</w:t>
            </w:r>
          </w:p>
        </w:tc>
        <w:tc>
          <w:tcPr>
            <w:tcW w:type="dxa" w:w="1368"/>
            <w:tcMar>
              <w:top w:w="80" w:type="dxa"/>
              <w:bottom w:w="80" w:type="dxa"/>
              <w:left w:w="100" w:type="dxa"/>
              <w:right w:w="100" w:type="dxa"/>
            </w:tcMar>
            <w:shd w:fill="F8FAFC"/>
          </w:tcPr>
          <w:p>
            <w:pPr>
              <w:jc w:val="right"/>
            </w:pPr>
            <w:r>
              <w:rPr>
                <w:rFonts w:ascii="Calibri" w:hAnsi="Calibri"/>
                <w:sz w:val="17"/>
              </w:rPr>
              <w:t>$4.200.000</w:t>
            </w:r>
          </w:p>
        </w:tc>
        <w:tc>
          <w:tcPr>
            <w:tcW w:type="dxa" w:w="2160"/>
            <w:tcMar>
              <w:top w:w="80" w:type="dxa"/>
              <w:bottom w:w="80" w:type="dxa"/>
              <w:left w:w="100" w:type="dxa"/>
              <w:right w:w="100" w:type="dxa"/>
            </w:tcMar>
            <w:shd w:fill="F8FAFC"/>
          </w:tcPr>
          <w:p>
            <w:pPr>
              <w:jc w:val="left"/>
            </w:pPr>
            <w:r>
              <w:rPr>
                <w:rFonts w:ascii="Calibri" w:hAnsi="Calibri"/>
                <w:sz w:val="17"/>
              </w:rPr>
              <w:t>RE9602 · Extemporánea (26 d.h.)</w:t>
            </w:r>
          </w:p>
        </w:tc>
      </w:tr>
      <w:tr>
        <w:tc>
          <w:tcPr>
            <w:tcW w:type="dxa" w:w="1224"/>
            <w:tcMar>
              <w:top w:w="80" w:type="dxa"/>
              <w:bottom w:w="80" w:type="dxa"/>
              <w:left w:w="100" w:type="dxa"/>
              <w:right w:w="100" w:type="dxa"/>
            </w:tcMar>
            <w:shd w:fill="FFFFFF"/>
          </w:tcPr>
          <w:p>
            <w:pPr>
              <w:jc w:val="center"/>
            </w:pPr>
            <w:r>
              <w:rPr>
                <w:rFonts w:ascii="Calibri" w:hAnsi="Calibri"/>
                <w:sz w:val="17"/>
              </w:rPr>
              <w:t>FE-4012</w:t>
            </w:r>
          </w:p>
        </w:tc>
        <w:tc>
          <w:tcPr>
            <w:tcW w:type="dxa" w:w="1080"/>
            <w:tcMar>
              <w:top w:w="80" w:type="dxa"/>
              <w:bottom w:w="80" w:type="dxa"/>
              <w:left w:w="100" w:type="dxa"/>
              <w:right w:w="100" w:type="dxa"/>
            </w:tcMar>
            <w:shd w:fill="FFFFFF"/>
          </w:tcPr>
          <w:p>
            <w:pPr>
              <w:jc w:val="center"/>
            </w:pPr>
            <w:r>
              <w:rPr>
                <w:rFonts w:ascii="Calibri" w:hAnsi="Calibri"/>
                <w:sz w:val="17"/>
              </w:rPr>
              <w:t>10/08/26</w:t>
            </w:r>
          </w:p>
        </w:tc>
        <w:tc>
          <w:tcPr>
            <w:tcW w:type="dxa" w:w="792"/>
            <w:tcMar>
              <w:top w:w="80" w:type="dxa"/>
              <w:bottom w:w="80" w:type="dxa"/>
              <w:left w:w="100" w:type="dxa"/>
              <w:right w:w="100" w:type="dxa"/>
            </w:tcMar>
            <w:shd w:fill="FFFFFF"/>
          </w:tcPr>
          <w:p>
            <w:pPr>
              <w:jc w:val="center"/>
            </w:pPr>
            <w:r>
              <w:rPr>
                <w:rFonts w:ascii="Calibri" w:hAnsi="Calibri"/>
                <w:sz w:val="17"/>
              </w:rPr>
              <w:t>G04</w:t>
            </w:r>
          </w:p>
        </w:tc>
        <w:tc>
          <w:tcPr>
            <w:tcW w:type="dxa" w:w="2664"/>
            <w:tcMar>
              <w:top w:w="80" w:type="dxa"/>
              <w:bottom w:w="80" w:type="dxa"/>
              <w:left w:w="100" w:type="dxa"/>
              <w:right w:w="100" w:type="dxa"/>
            </w:tcMar>
            <w:shd w:fill="FFFFFF"/>
          </w:tcPr>
          <w:p>
            <w:pPr>
              <w:jc w:val="left"/>
            </w:pPr>
            <w:r>
              <w:rPr>
                <w:rFonts w:ascii="Calibri" w:hAnsi="Calibri"/>
                <w:sz w:val="17"/>
              </w:rPr>
              <w:t>Falta autorización previa urgencias</w:t>
            </w:r>
          </w:p>
        </w:tc>
        <w:tc>
          <w:tcPr>
            <w:tcW w:type="dxa" w:w="1368"/>
            <w:tcMar>
              <w:top w:w="80" w:type="dxa"/>
              <w:bottom w:w="80" w:type="dxa"/>
              <w:left w:w="100" w:type="dxa"/>
              <w:right w:w="100" w:type="dxa"/>
            </w:tcMar>
            <w:shd w:fill="FFFFFF"/>
          </w:tcPr>
          <w:p>
            <w:pPr>
              <w:jc w:val="right"/>
            </w:pPr>
            <w:r>
              <w:rPr>
                <w:rFonts w:ascii="Calibri" w:hAnsi="Calibri"/>
                <w:sz w:val="17"/>
              </w:rPr>
              <w:t>$16.500.000</w:t>
            </w:r>
          </w:p>
        </w:tc>
        <w:tc>
          <w:tcPr>
            <w:tcW w:type="dxa" w:w="1368"/>
            <w:tcMar>
              <w:top w:w="80" w:type="dxa"/>
              <w:bottom w:w="80" w:type="dxa"/>
              <w:left w:w="100" w:type="dxa"/>
              <w:right w:w="100" w:type="dxa"/>
            </w:tcMar>
            <w:shd w:fill="FFFFFF"/>
          </w:tcPr>
          <w:p>
            <w:pPr>
              <w:jc w:val="right"/>
            </w:pPr>
            <w:r>
              <w:rPr>
                <w:rFonts w:ascii="Calibri" w:hAnsi="Calibri"/>
                <w:sz w:val="17"/>
              </w:rPr>
              <w:t>$16.500.000</w:t>
            </w:r>
          </w:p>
        </w:tc>
        <w:tc>
          <w:tcPr>
            <w:tcW w:type="dxa" w:w="2160"/>
            <w:tcMar>
              <w:top w:w="80" w:type="dxa"/>
              <w:bottom w:w="80" w:type="dxa"/>
              <w:left w:w="100" w:type="dxa"/>
              <w:right w:w="100" w:type="dxa"/>
            </w:tcMar>
            <w:shd w:fill="FFFFFF"/>
          </w:tcPr>
          <w:p>
            <w:pPr>
              <w:jc w:val="left"/>
            </w:pPr>
            <w:r>
              <w:rPr>
                <w:rFonts w:ascii="Calibri" w:hAnsi="Calibri"/>
                <w:sz w:val="17"/>
              </w:rPr>
              <w:t>RE9602 · Urgencia Vital &lt; 24h</w:t>
            </w:r>
          </w:p>
        </w:tc>
      </w:tr>
      <w:tr>
        <w:tc>
          <w:tcPr>
            <w:tcW w:type="dxa" w:w="1224"/>
            <w:tcMar>
              <w:top w:w="80" w:type="dxa"/>
              <w:bottom w:w="80" w:type="dxa"/>
              <w:left w:w="100" w:type="dxa"/>
              <w:right w:w="100" w:type="dxa"/>
            </w:tcMar>
            <w:shd w:fill="F8FAFC"/>
          </w:tcPr>
          <w:p>
            <w:pPr>
              <w:jc w:val="center"/>
            </w:pPr>
            <w:r>
              <w:rPr>
                <w:rFonts w:ascii="Calibri" w:hAnsi="Calibri"/>
                <w:sz w:val="17"/>
              </w:rPr>
              <w:t>FE-4013</w:t>
            </w:r>
          </w:p>
        </w:tc>
        <w:tc>
          <w:tcPr>
            <w:tcW w:type="dxa" w:w="1080"/>
            <w:tcMar>
              <w:top w:w="80" w:type="dxa"/>
              <w:bottom w:w="80" w:type="dxa"/>
              <w:left w:w="100" w:type="dxa"/>
              <w:right w:w="100" w:type="dxa"/>
            </w:tcMar>
            <w:shd w:fill="F8FAFC"/>
          </w:tcPr>
          <w:p>
            <w:pPr>
              <w:jc w:val="center"/>
            </w:pPr>
            <w:r>
              <w:rPr>
                <w:rFonts w:ascii="Calibri" w:hAnsi="Calibri"/>
                <w:sz w:val="17"/>
              </w:rPr>
              <w:t>12/08/26</w:t>
            </w:r>
          </w:p>
        </w:tc>
        <w:tc>
          <w:tcPr>
            <w:tcW w:type="dxa" w:w="792"/>
            <w:tcMar>
              <w:top w:w="80" w:type="dxa"/>
              <w:bottom w:w="80" w:type="dxa"/>
              <w:left w:w="100" w:type="dxa"/>
              <w:right w:w="100" w:type="dxa"/>
            </w:tcMar>
            <w:shd w:fill="F8FAFC"/>
          </w:tcPr>
          <w:p>
            <w:pPr>
              <w:jc w:val="center"/>
            </w:pPr>
            <w:r>
              <w:rPr>
                <w:rFonts w:ascii="Calibri" w:hAnsi="Calibri"/>
                <w:sz w:val="17"/>
              </w:rPr>
              <w:t>G03</w:t>
            </w:r>
          </w:p>
        </w:tc>
        <w:tc>
          <w:tcPr>
            <w:tcW w:type="dxa" w:w="2664"/>
            <w:tcMar>
              <w:top w:w="80" w:type="dxa"/>
              <w:bottom w:w="80" w:type="dxa"/>
              <w:left w:w="100" w:type="dxa"/>
              <w:right w:w="100" w:type="dxa"/>
            </w:tcMar>
            <w:shd w:fill="F8FAFC"/>
          </w:tcPr>
          <w:p>
            <w:pPr>
              <w:jc w:val="left"/>
            </w:pPr>
            <w:r>
              <w:rPr>
                <w:rFonts w:ascii="Calibri" w:hAnsi="Calibri"/>
                <w:sz w:val="17"/>
              </w:rPr>
              <w:t>Soportes patología y RIPS JSON</w:t>
            </w:r>
          </w:p>
        </w:tc>
        <w:tc>
          <w:tcPr>
            <w:tcW w:type="dxa" w:w="1368"/>
            <w:tcMar>
              <w:top w:w="80" w:type="dxa"/>
              <w:bottom w:w="80" w:type="dxa"/>
              <w:left w:w="100" w:type="dxa"/>
              <w:right w:w="100" w:type="dxa"/>
            </w:tcMar>
            <w:shd w:fill="F8FAFC"/>
          </w:tcPr>
          <w:p>
            <w:pPr>
              <w:jc w:val="right"/>
            </w:pPr>
            <w:r>
              <w:rPr>
                <w:rFonts w:ascii="Calibri" w:hAnsi="Calibri"/>
                <w:sz w:val="17"/>
              </w:rPr>
              <w:t>$3.800.000</w:t>
            </w:r>
          </w:p>
        </w:tc>
        <w:tc>
          <w:tcPr>
            <w:tcW w:type="dxa" w:w="1368"/>
            <w:tcMar>
              <w:top w:w="80" w:type="dxa"/>
              <w:bottom w:w="80" w:type="dxa"/>
              <w:left w:w="100" w:type="dxa"/>
              <w:right w:w="100" w:type="dxa"/>
            </w:tcMar>
            <w:shd w:fill="F8FAFC"/>
          </w:tcPr>
          <w:p>
            <w:pPr>
              <w:jc w:val="right"/>
            </w:pPr>
            <w:r>
              <w:rPr>
                <w:rFonts w:ascii="Calibri" w:hAnsi="Calibri"/>
                <w:sz w:val="17"/>
              </w:rPr>
              <w:t>$3.800.000</w:t>
            </w:r>
          </w:p>
        </w:tc>
        <w:tc>
          <w:tcPr>
            <w:tcW w:type="dxa" w:w="2160"/>
            <w:tcMar>
              <w:top w:w="80" w:type="dxa"/>
              <w:bottom w:w="80" w:type="dxa"/>
              <w:left w:w="100" w:type="dxa"/>
              <w:right w:w="100" w:type="dxa"/>
            </w:tcMar>
            <w:shd w:fill="F8FAFC"/>
          </w:tcPr>
          <w:p>
            <w:pPr>
              <w:jc w:val="left"/>
            </w:pPr>
            <w:r>
              <w:rPr>
                <w:rFonts w:ascii="Calibri" w:hAnsi="Calibri"/>
                <w:sz w:val="17"/>
              </w:rPr>
              <w:t>RE9901 · Subsanada CUV RIPS</w:t>
            </w:r>
          </w:p>
        </w:tc>
      </w:tr>
      <w:tr>
        <w:tc>
          <w:tcPr>
            <w:tcW w:type="dxa" w:w="1224"/>
            <w:tcMar>
              <w:top w:w="80" w:type="dxa"/>
              <w:bottom w:w="80" w:type="dxa"/>
              <w:left w:w="100" w:type="dxa"/>
              <w:right w:w="100" w:type="dxa"/>
            </w:tcMar>
            <w:shd w:fill="FFFFFF"/>
          </w:tcPr>
          <w:p>
            <w:pPr>
              <w:jc w:val="center"/>
            </w:pPr>
            <w:r>
              <w:rPr>
                <w:rFonts w:ascii="Calibri" w:hAnsi="Calibri"/>
                <w:sz w:val="17"/>
              </w:rPr>
              <w:t>FE-4014</w:t>
            </w:r>
          </w:p>
        </w:tc>
        <w:tc>
          <w:tcPr>
            <w:tcW w:type="dxa" w:w="1080"/>
            <w:tcMar>
              <w:top w:w="80" w:type="dxa"/>
              <w:bottom w:w="80" w:type="dxa"/>
              <w:left w:w="100" w:type="dxa"/>
              <w:right w:w="100" w:type="dxa"/>
            </w:tcMar>
            <w:shd w:fill="FFFFFF"/>
          </w:tcPr>
          <w:p>
            <w:pPr>
              <w:jc w:val="center"/>
            </w:pPr>
            <w:r>
              <w:rPr>
                <w:rFonts w:ascii="Calibri" w:hAnsi="Calibri"/>
                <w:sz w:val="17"/>
              </w:rPr>
              <w:t>15/08/26</w:t>
            </w:r>
          </w:p>
        </w:tc>
        <w:tc>
          <w:tcPr>
            <w:tcW w:type="dxa" w:w="792"/>
            <w:tcMar>
              <w:top w:w="80" w:type="dxa"/>
              <w:bottom w:w="80" w:type="dxa"/>
              <w:left w:w="100" w:type="dxa"/>
              <w:right w:w="100" w:type="dxa"/>
            </w:tcMar>
            <w:shd w:fill="FFFFFF"/>
          </w:tcPr>
          <w:p>
            <w:pPr>
              <w:jc w:val="center"/>
            </w:pPr>
            <w:r>
              <w:rPr>
                <w:rFonts w:ascii="Calibri" w:hAnsi="Calibri"/>
                <w:sz w:val="17"/>
              </w:rPr>
              <w:t>G06</w:t>
            </w:r>
          </w:p>
        </w:tc>
        <w:tc>
          <w:tcPr>
            <w:tcW w:type="dxa" w:w="2664"/>
            <w:tcMar>
              <w:top w:w="80" w:type="dxa"/>
              <w:bottom w:w="80" w:type="dxa"/>
              <w:left w:w="100" w:type="dxa"/>
              <w:right w:w="100" w:type="dxa"/>
            </w:tcMar>
            <w:shd w:fill="FFFFFF"/>
          </w:tcPr>
          <w:p>
            <w:pPr>
              <w:jc w:val="left"/>
            </w:pPr>
            <w:r>
              <w:rPr>
                <w:rFonts w:ascii="Calibri" w:hAnsi="Calibri"/>
                <w:sz w:val="17"/>
              </w:rPr>
              <w:t>Objeción días estancia UCI interm.</w:t>
            </w:r>
          </w:p>
        </w:tc>
        <w:tc>
          <w:tcPr>
            <w:tcW w:type="dxa" w:w="1368"/>
            <w:tcMar>
              <w:top w:w="80" w:type="dxa"/>
              <w:bottom w:w="80" w:type="dxa"/>
              <w:left w:w="100" w:type="dxa"/>
              <w:right w:w="100" w:type="dxa"/>
            </w:tcMar>
            <w:shd w:fill="FFFFFF"/>
          </w:tcPr>
          <w:p>
            <w:pPr>
              <w:jc w:val="right"/>
            </w:pPr>
            <w:r>
              <w:rPr>
                <w:rFonts w:ascii="Calibri" w:hAnsi="Calibri"/>
                <w:sz w:val="17"/>
              </w:rPr>
              <w:t>$12.400.000</w:t>
            </w:r>
          </w:p>
        </w:tc>
        <w:tc>
          <w:tcPr>
            <w:tcW w:type="dxa" w:w="1368"/>
            <w:tcMar>
              <w:top w:w="80" w:type="dxa"/>
              <w:bottom w:w="80" w:type="dxa"/>
              <w:left w:w="100" w:type="dxa"/>
              <w:right w:w="100" w:type="dxa"/>
            </w:tcMar>
            <w:shd w:fill="FFFFFF"/>
          </w:tcPr>
          <w:p>
            <w:pPr>
              <w:jc w:val="right"/>
            </w:pPr>
            <w:r>
              <w:rPr>
                <w:rFonts w:ascii="Calibri" w:hAnsi="Calibri"/>
                <w:sz w:val="17"/>
              </w:rPr>
              <w:t>$12.400.000</w:t>
            </w:r>
          </w:p>
        </w:tc>
        <w:tc>
          <w:tcPr>
            <w:tcW w:type="dxa" w:w="2160"/>
            <w:tcMar>
              <w:top w:w="80" w:type="dxa"/>
              <w:bottom w:w="80" w:type="dxa"/>
              <w:left w:w="100" w:type="dxa"/>
              <w:right w:w="100" w:type="dxa"/>
            </w:tcMar>
            <w:shd w:fill="FFFFFF"/>
          </w:tcPr>
          <w:p>
            <w:pPr>
              <w:jc w:val="left"/>
            </w:pPr>
            <w:r>
              <w:rPr>
                <w:rFonts w:ascii="Calibri" w:hAnsi="Calibri"/>
                <w:sz w:val="17"/>
              </w:rPr>
              <w:t>RE9602 · Autonomía Lex Artis</w:t>
            </w:r>
          </w:p>
        </w:tc>
      </w:tr>
      <w:tr>
        <w:tc>
          <w:tcPr>
            <w:tcW w:type="dxa" w:w="1224"/>
            <w:tcMar>
              <w:top w:w="80" w:type="dxa"/>
              <w:bottom w:w="80" w:type="dxa"/>
              <w:left w:w="100" w:type="dxa"/>
              <w:right w:w="100" w:type="dxa"/>
            </w:tcMar>
            <w:shd w:fill="F8FAFC"/>
          </w:tcPr>
          <w:p>
            <w:pPr>
              <w:jc w:val="center"/>
            </w:pPr>
            <w:r>
              <w:rPr>
                <w:rFonts w:ascii="Calibri" w:hAnsi="Calibri"/>
                <w:sz w:val="17"/>
              </w:rPr>
              <w:t>FE-4015</w:t>
            </w:r>
          </w:p>
        </w:tc>
        <w:tc>
          <w:tcPr>
            <w:tcW w:type="dxa" w:w="1080"/>
            <w:tcMar>
              <w:top w:w="80" w:type="dxa"/>
              <w:bottom w:w="80" w:type="dxa"/>
              <w:left w:w="100" w:type="dxa"/>
              <w:right w:w="100" w:type="dxa"/>
            </w:tcMar>
            <w:shd w:fill="F8FAFC"/>
          </w:tcPr>
          <w:p>
            <w:pPr>
              <w:jc w:val="center"/>
            </w:pPr>
            <w:r>
              <w:rPr>
                <w:rFonts w:ascii="Calibri" w:hAnsi="Calibri"/>
                <w:sz w:val="17"/>
              </w:rPr>
              <w:t>18/08/26</w:t>
            </w:r>
          </w:p>
        </w:tc>
        <w:tc>
          <w:tcPr>
            <w:tcW w:type="dxa" w:w="792"/>
            <w:tcMar>
              <w:top w:w="80" w:type="dxa"/>
              <w:bottom w:w="80" w:type="dxa"/>
              <w:left w:w="100" w:type="dxa"/>
              <w:right w:w="100" w:type="dxa"/>
            </w:tcMar>
            <w:shd w:fill="F8FAFC"/>
          </w:tcPr>
          <w:p>
            <w:pPr>
              <w:jc w:val="center"/>
            </w:pPr>
            <w:r>
              <w:rPr>
                <w:rFonts w:ascii="Calibri" w:hAnsi="Calibri"/>
                <w:sz w:val="17"/>
              </w:rPr>
              <w:t>G05</w:t>
            </w:r>
          </w:p>
        </w:tc>
        <w:tc>
          <w:tcPr>
            <w:tcW w:type="dxa" w:w="2664"/>
            <w:tcMar>
              <w:top w:w="80" w:type="dxa"/>
              <w:bottom w:w="80" w:type="dxa"/>
              <w:left w:w="100" w:type="dxa"/>
              <w:right w:w="100" w:type="dxa"/>
            </w:tcMar>
            <w:shd w:fill="F8FAFC"/>
          </w:tcPr>
          <w:p>
            <w:pPr>
              <w:jc w:val="left"/>
            </w:pPr>
            <w:r>
              <w:rPr>
                <w:rFonts w:ascii="Calibri" w:hAnsi="Calibri"/>
                <w:sz w:val="17"/>
              </w:rPr>
              <w:t>Medicamento No PBS sin MIPRES</w:t>
            </w:r>
          </w:p>
        </w:tc>
        <w:tc>
          <w:tcPr>
            <w:tcW w:type="dxa" w:w="1368"/>
            <w:tcMar>
              <w:top w:w="80" w:type="dxa"/>
              <w:bottom w:w="80" w:type="dxa"/>
              <w:left w:w="100" w:type="dxa"/>
              <w:right w:w="100" w:type="dxa"/>
            </w:tcMar>
            <w:shd w:fill="F8FAFC"/>
          </w:tcPr>
          <w:p>
            <w:pPr>
              <w:jc w:val="right"/>
            </w:pPr>
            <w:r>
              <w:rPr>
                <w:rFonts w:ascii="Calibri" w:hAnsi="Calibri"/>
                <w:sz w:val="17"/>
              </w:rPr>
              <w:t>$5.600.000</w:t>
            </w:r>
          </w:p>
        </w:tc>
        <w:tc>
          <w:tcPr>
            <w:tcW w:type="dxa" w:w="1368"/>
            <w:tcMar>
              <w:top w:w="80" w:type="dxa"/>
              <w:bottom w:w="80" w:type="dxa"/>
              <w:left w:w="100" w:type="dxa"/>
              <w:right w:w="100" w:type="dxa"/>
            </w:tcMar>
            <w:shd w:fill="F8FAFC"/>
          </w:tcPr>
          <w:p>
            <w:pPr>
              <w:jc w:val="right"/>
            </w:pPr>
            <w:r>
              <w:rPr>
                <w:rFonts w:ascii="Calibri" w:hAnsi="Calibri"/>
                <w:sz w:val="17"/>
              </w:rPr>
              <w:t>$5.600.000</w:t>
            </w:r>
          </w:p>
        </w:tc>
        <w:tc>
          <w:tcPr>
            <w:tcW w:type="dxa" w:w="2160"/>
            <w:tcMar>
              <w:top w:w="80" w:type="dxa"/>
              <w:bottom w:w="80" w:type="dxa"/>
              <w:left w:w="100" w:type="dxa"/>
              <w:right w:w="100" w:type="dxa"/>
            </w:tcMar>
            <w:shd w:fill="F8FAFC"/>
          </w:tcPr>
          <w:p>
            <w:pPr>
              <w:jc w:val="left"/>
            </w:pPr>
            <w:r>
              <w:rPr>
                <w:rFonts w:ascii="Calibri" w:hAnsi="Calibri"/>
                <w:sz w:val="17"/>
              </w:rPr>
              <w:t>RE9602 · MIPRES Radicado OK</w:t>
            </w:r>
          </w:p>
        </w:tc>
      </w:tr>
      <w:tr>
        <w:tc>
          <w:tcPr>
            <w:tcW w:type="dxa" w:w="1224"/>
            <w:tcMar>
              <w:top w:w="80" w:type="dxa"/>
              <w:bottom w:w="80" w:type="dxa"/>
              <w:left w:w="100" w:type="dxa"/>
              <w:right w:w="100" w:type="dxa"/>
            </w:tcMar>
            <w:shd w:fill="FFFFFF"/>
          </w:tcPr>
          <w:p>
            <w:pPr>
              <w:jc w:val="center"/>
            </w:pPr>
            <w:r>
              <w:rPr>
                <w:rFonts w:ascii="Calibri" w:hAnsi="Calibri"/>
                <w:sz w:val="17"/>
              </w:rPr>
              <w:t>FE-4016</w:t>
            </w:r>
          </w:p>
        </w:tc>
        <w:tc>
          <w:tcPr>
            <w:tcW w:type="dxa" w:w="1080"/>
            <w:tcMar>
              <w:top w:w="80" w:type="dxa"/>
              <w:bottom w:w="80" w:type="dxa"/>
              <w:left w:w="100" w:type="dxa"/>
              <w:right w:w="100" w:type="dxa"/>
            </w:tcMar>
            <w:shd w:fill="FFFFFF"/>
          </w:tcPr>
          <w:p>
            <w:pPr>
              <w:jc w:val="center"/>
            </w:pPr>
            <w:r>
              <w:rPr>
                <w:rFonts w:ascii="Calibri" w:hAnsi="Calibri"/>
                <w:sz w:val="17"/>
              </w:rPr>
              <w:t>20/08/26</w:t>
            </w:r>
          </w:p>
        </w:tc>
        <w:tc>
          <w:tcPr>
            <w:tcW w:type="dxa" w:w="792"/>
            <w:tcMar>
              <w:top w:w="80" w:type="dxa"/>
              <w:bottom w:w="80" w:type="dxa"/>
              <w:left w:w="100" w:type="dxa"/>
              <w:right w:w="100" w:type="dxa"/>
            </w:tcMar>
            <w:shd w:fill="FFFFFF"/>
          </w:tcPr>
          <w:p>
            <w:pPr>
              <w:jc w:val="center"/>
            </w:pPr>
            <w:r>
              <w:rPr>
                <w:rFonts w:ascii="Calibri" w:hAnsi="Calibri"/>
                <w:sz w:val="17"/>
              </w:rPr>
              <w:t>G01</w:t>
            </w:r>
          </w:p>
        </w:tc>
        <w:tc>
          <w:tcPr>
            <w:tcW w:type="dxa" w:w="2664"/>
            <w:tcMar>
              <w:top w:w="80" w:type="dxa"/>
              <w:bottom w:w="80" w:type="dxa"/>
              <w:left w:w="100" w:type="dxa"/>
              <w:right w:w="100" w:type="dxa"/>
            </w:tcMar>
            <w:shd w:fill="FFFFFF"/>
          </w:tcPr>
          <w:p>
            <w:pPr>
              <w:jc w:val="left"/>
            </w:pPr>
            <w:r>
              <w:rPr>
                <w:rFonts w:ascii="Calibri" w:hAnsi="Calibri"/>
                <w:sz w:val="17"/>
              </w:rPr>
              <w:t>Omisión descuento cuota mod.</w:t>
            </w:r>
          </w:p>
        </w:tc>
        <w:tc>
          <w:tcPr>
            <w:tcW w:type="dxa" w:w="1368"/>
            <w:tcMar>
              <w:top w:w="80" w:type="dxa"/>
              <w:bottom w:w="80" w:type="dxa"/>
              <w:left w:w="100" w:type="dxa"/>
              <w:right w:w="100" w:type="dxa"/>
            </w:tcMar>
            <w:shd w:fill="FFFFFF"/>
          </w:tcPr>
          <w:p>
            <w:pPr>
              <w:jc w:val="right"/>
            </w:pPr>
            <w:r>
              <w:rPr>
                <w:rFonts w:ascii="Calibri" w:hAnsi="Calibri"/>
                <w:sz w:val="17"/>
              </w:rPr>
              <w:t>$2.500.000</w:t>
            </w:r>
          </w:p>
        </w:tc>
        <w:tc>
          <w:tcPr>
            <w:tcW w:type="dxa" w:w="1368"/>
            <w:tcMar>
              <w:top w:w="80" w:type="dxa"/>
              <w:bottom w:w="80" w:type="dxa"/>
              <w:left w:w="100" w:type="dxa"/>
              <w:right w:w="100" w:type="dxa"/>
            </w:tcMar>
            <w:shd w:fill="FFFFFF"/>
          </w:tcPr>
          <w:p>
            <w:pPr>
              <w:jc w:val="right"/>
            </w:pPr>
            <w:r>
              <w:rPr>
                <w:rFonts w:ascii="Calibri" w:hAnsi="Calibri"/>
                <w:sz w:val="17"/>
              </w:rPr>
              <w:t>$0</w:t>
            </w:r>
          </w:p>
        </w:tc>
        <w:tc>
          <w:tcPr>
            <w:tcW w:type="dxa" w:w="2160"/>
            <w:tcMar>
              <w:top w:w="80" w:type="dxa"/>
              <w:bottom w:w="80" w:type="dxa"/>
              <w:left w:w="100" w:type="dxa"/>
              <w:right w:w="100" w:type="dxa"/>
            </w:tcMar>
            <w:shd w:fill="FFFFFF"/>
          </w:tcPr>
          <w:p>
            <w:pPr>
              <w:jc w:val="left"/>
            </w:pPr>
            <w:r>
              <w:rPr>
                <w:rFonts w:ascii="Calibri" w:hAnsi="Calibri"/>
                <w:sz w:val="17"/>
              </w:rPr>
              <w:t>RE9701 · Aceptada Nota Crédito</w:t>
            </w:r>
          </w:p>
        </w:tc>
      </w:tr>
      <w:tr>
        <w:tc>
          <w:tcPr>
            <w:tcW w:type="dxa" w:w="1224"/>
            <w:tcMar>
              <w:top w:w="80" w:type="dxa"/>
              <w:bottom w:w="80" w:type="dxa"/>
              <w:left w:w="100" w:type="dxa"/>
              <w:right w:w="100" w:type="dxa"/>
            </w:tcMar>
            <w:shd w:fill="ECFDF5"/>
          </w:tcPr>
          <w:p>
            <w:pPr>
              <w:jc w:val="center"/>
            </w:pPr>
            <w:r>
              <w:rPr>
                <w:rFonts w:ascii="Calibri" w:hAnsi="Calibri"/>
                <w:b/>
                <w:color w:val="065F46"/>
                <w:sz w:val="17"/>
              </w:rPr>
              <w:t>TOTALES</w:t>
            </w:r>
          </w:p>
        </w:tc>
        <w:tc>
          <w:tcPr>
            <w:tcW w:type="dxa" w:w="1080"/>
            <w:tcMar>
              <w:top w:w="80" w:type="dxa"/>
              <w:bottom w:w="80" w:type="dxa"/>
              <w:left w:w="100" w:type="dxa"/>
              <w:right w:w="100" w:type="dxa"/>
            </w:tcMar>
            <w:shd w:fill="ECFDF5"/>
          </w:tcPr>
          <w:p>
            <w:pPr>
              <w:jc w:val="center"/>
            </w:pPr>
            <w:r>
              <w:rPr>
                <w:rFonts w:ascii="Calibri" w:hAnsi="Calibri"/>
                <w:b/>
                <w:color w:val="065F46"/>
                <w:sz w:val="17"/>
              </w:rPr>
              <w:t>-</w:t>
            </w:r>
          </w:p>
        </w:tc>
        <w:tc>
          <w:tcPr>
            <w:tcW w:type="dxa" w:w="792"/>
            <w:tcMar>
              <w:top w:w="80" w:type="dxa"/>
              <w:bottom w:w="80" w:type="dxa"/>
              <w:left w:w="100" w:type="dxa"/>
              <w:right w:w="100" w:type="dxa"/>
            </w:tcMar>
            <w:shd w:fill="ECFDF5"/>
          </w:tcPr>
          <w:p>
            <w:pPr>
              <w:jc w:val="center"/>
            </w:pPr>
            <w:r>
              <w:rPr>
                <w:rFonts w:ascii="Calibri" w:hAnsi="Calibri"/>
                <w:b/>
                <w:color w:val="065F46"/>
                <w:sz w:val="17"/>
              </w:rPr>
              <w:t>-</w:t>
            </w:r>
          </w:p>
        </w:tc>
        <w:tc>
          <w:tcPr>
            <w:tcW w:type="dxa" w:w="2664"/>
            <w:tcMar>
              <w:top w:w="80" w:type="dxa"/>
              <w:bottom w:w="80" w:type="dxa"/>
              <w:left w:w="100" w:type="dxa"/>
              <w:right w:w="100" w:type="dxa"/>
            </w:tcMar>
            <w:shd w:fill="ECFDF5"/>
          </w:tcPr>
          <w:p>
            <w:pPr>
              <w:jc w:val="left"/>
            </w:pPr>
            <w:r>
              <w:rPr>
                <w:rFonts w:ascii="Calibri" w:hAnsi="Calibri"/>
                <w:b/>
                <w:color w:val="065F46"/>
                <w:sz w:val="17"/>
              </w:rPr>
              <w:t>TOTALES PERICIALES AUDITADOS</w:t>
            </w:r>
          </w:p>
        </w:tc>
        <w:tc>
          <w:tcPr>
            <w:tcW w:type="dxa" w:w="1368"/>
            <w:tcMar>
              <w:top w:w="80" w:type="dxa"/>
              <w:bottom w:w="80" w:type="dxa"/>
              <w:left w:w="100" w:type="dxa"/>
              <w:right w:w="100" w:type="dxa"/>
            </w:tcMar>
            <w:shd w:fill="ECFDF5"/>
          </w:tcPr>
          <w:p>
            <w:pPr>
              <w:jc w:val="right"/>
            </w:pPr>
            <w:r>
              <w:rPr>
                <w:rFonts w:ascii="Calibri" w:hAnsi="Calibri"/>
                <w:b/>
                <w:color w:val="065F46"/>
                <w:sz w:val="17"/>
              </w:rPr>
              <w:t>$45.000.000</w:t>
            </w:r>
          </w:p>
        </w:tc>
        <w:tc>
          <w:tcPr>
            <w:tcW w:type="dxa" w:w="1368"/>
            <w:tcMar>
              <w:top w:w="80" w:type="dxa"/>
              <w:bottom w:w="80" w:type="dxa"/>
              <w:left w:w="100" w:type="dxa"/>
              <w:right w:w="100" w:type="dxa"/>
            </w:tcMar>
            <w:shd w:fill="ECFDF5"/>
          </w:tcPr>
          <w:p>
            <w:pPr>
              <w:jc w:val="right"/>
            </w:pPr>
            <w:r>
              <w:rPr>
                <w:rFonts w:ascii="Calibri" w:hAnsi="Calibri"/>
                <w:b/>
                <w:color w:val="065F46"/>
                <w:sz w:val="17"/>
              </w:rPr>
              <w:t>$42.500.000</w:t>
            </w:r>
          </w:p>
        </w:tc>
        <w:tc>
          <w:tcPr>
            <w:tcW w:type="dxa" w:w="2160"/>
            <w:tcMar>
              <w:top w:w="80" w:type="dxa"/>
              <w:bottom w:w="80" w:type="dxa"/>
              <w:left w:w="100" w:type="dxa"/>
              <w:right w:w="100" w:type="dxa"/>
            </w:tcMar>
            <w:shd w:fill="ECFDF5"/>
          </w:tcPr>
          <w:p>
            <w:pPr>
              <w:jc w:val="left"/>
            </w:pPr>
            <w:r>
              <w:rPr>
                <w:rFonts w:ascii="Calibri" w:hAnsi="Calibri"/>
                <w:b/>
                <w:color w:val="065F46"/>
                <w:sz w:val="17"/>
              </w:rPr>
              <w:t>Recuperabilidad: 94.44%</w:t>
            </w:r>
          </w:p>
        </w:tc>
      </w:tr>
    </w:tbl>
    <w:p/>
    <w:p>
      <w:r>
        <w:rPr>
          <w:rFonts w:ascii="Calibri" w:hAnsi="Calibri"/>
          <w:b/>
          <w:color w:val="0F172A"/>
          <w:sz w:val="22"/>
        </w:rPr>
        <w:t>III. SUSTENTO TÉCNICO-LEGAL Y JURISPRUDENCIAL DE LA OBJECIÓN</w:t>
        <w:br/>
      </w:r>
    </w:p>
    <w:p>
      <w:pPr>
        <w:spacing w:line="276" w:lineRule="auto"/>
        <w:jc w:val="both"/>
      </w:pPr>
      <w:r>
        <w:rPr>
          <w:rFonts w:ascii="Calibri" w:hAnsi="Calibri"/>
          <w:b/>
          <w:sz w:val="20"/>
        </w:rPr>
        <w:t>1. Extemporaneidad Insubsanable de Glosas (Ley 1438 de 2011, Art. 57):</w:t>
        <w:br/>
      </w:r>
      <w:r>
        <w:rPr>
          <w:rFonts w:ascii="Calibri" w:hAnsi="Calibri"/>
          <w:sz w:val="19"/>
        </w:rPr>
        <w:t>La Ley 1438 de 2011 consagra de manera taxativa y perentoria que la entidad responsable del pago cuenta con un plazo improrrogable de veinte (20) días hábiles siguientes a la presentación formal de la factura para formular glosas. En el caso de la Factura FE-4011, radicada el 01/08/2026 y glosada el 08/09/2026, transcurrieron veintiséis (26) días hábiles. Por mandato expreso del ordenamiento jurídico, dicha glosa deviene nula de pleno derecho e inexigible, quedando la entidad pagadora obligada a reconocer y pagar de manera inmediata el 100% del valor facturado.</w:t>
      </w:r>
    </w:p>
    <w:p>
      <w:pPr>
        <w:spacing w:line="276" w:lineRule="auto"/>
        <w:jc w:val="both"/>
      </w:pPr>
      <w:r>
        <w:rPr>
          <w:rFonts w:ascii="Calibri" w:hAnsi="Calibri"/>
          <w:b/>
          <w:sz w:val="20"/>
        </w:rPr>
        <w:t>2. Prohibición de Glosar Atenciones de Urgencia Vital (Decreto 441 de 2022, Art. 13 y Ley 1751 de 2015, Art. 14):</w:t>
        <w:br/>
      </w:r>
      <w:r>
        <w:rPr>
          <w:rFonts w:ascii="Calibri" w:hAnsi="Calibri"/>
          <w:sz w:val="19"/>
        </w:rPr>
        <w:t>El ordenamiento prohíbe de manera absoluta supeditar la atención inicial de urgencias a la expedición de autorizaciones previas. En la Factura FE-4012, el paciente ingresó bajo Triage Nivel I con riesgo inminente de muerte. Conforme al Art. 13 del Decreto 441 de 2022, la comunicación formal a la EPS dentro de las 24 horas siguientes cumple plenamente el requisito de informe de urgencias. La glosa formulada bajo el código G04 carece de todo fundamento jurídico.</w:t>
      </w:r>
    </w:p>
    <w:p>
      <w:pPr>
        <w:spacing w:line="276" w:lineRule="auto"/>
        <w:jc w:val="both"/>
      </w:pPr>
      <w:r>
        <w:rPr>
          <w:rFonts w:ascii="Calibri" w:hAnsi="Calibri"/>
          <w:b/>
          <w:sz w:val="20"/>
        </w:rPr>
        <w:t>3. Blindaje Constitucional a la Autonomía Médica y Lex Artis (Ley Estatutaria 1751 de 2015, Art. 17):</w:t>
        <w:br/>
      </w:r>
      <w:r>
        <w:rPr>
          <w:rFonts w:ascii="Calibri" w:hAnsi="Calibri"/>
          <w:sz w:val="19"/>
        </w:rPr>
        <w:t>La Ley Estatutaria de Salud garantiza la autonomía de los profesionales de la salud para adoptar decisiones terapéuticas. Respecto de la Factura FE-4014, los días de estancia en UCI intermedia fueron prescritos por el médico especialista intensivista bajo parámetros objetivos de la escala APACHE II. La EPS no ostenta atribución legal ni pericial para desconocer la pertinencia de un acto médico ejecutado en estricta sujeción a la Lex Artis.</w:t>
      </w:r>
    </w:p>
    <w:p>
      <w:pPr>
        <w:spacing w:line="276" w:lineRule="auto"/>
        <w:jc w:val="both"/>
      </w:pPr>
      <w:r>
        <w:rPr>
          <w:rFonts w:ascii="Calibri" w:hAnsi="Calibri"/>
          <w:b/>
          <w:sz w:val="20"/>
        </w:rPr>
        <w:t>4. Subsanación Documental Plena y Validación RIPS (Resolución 2284 de 2023 y Res. 2275 de 2023):</w:t>
        <w:br/>
      </w:r>
      <w:r>
        <w:rPr>
          <w:rFonts w:ascii="Calibri" w:hAnsi="Calibri"/>
          <w:sz w:val="19"/>
        </w:rPr>
        <w:t>Bajo el código de respuesta oficial RE9901, mi representada subsana integralmente los requerimientos de la Factura FE-4013, adjuntando informe anatomopatológico firmado digitalmente bajo Ley 527 de 1999 y el Código Único de Validación (CUV) expedido por la plataforma del Ministerio de Salud, completando el acervo exigido por el Anexo Técnico 3.</w:t>
      </w:r>
    </w:p>
    <w:p>
      <w:r>
        <w:rPr>
          <w:rFonts w:ascii="Calibri" w:hAnsi="Calibri"/>
          <w:b/>
          <w:color w:val="0F172A"/>
          <w:sz w:val="22"/>
        </w:rPr>
        <w:t>IV. PETICIONES CONCRETAS</w:t>
        <w:br/>
      </w:r>
    </w:p>
    <w:p>
      <w:pPr>
        <w:spacing w:line="276" w:lineRule="auto"/>
        <w:ind w:left="288"/>
        <w:jc w:val="both"/>
      </w:pPr>
      <w:r>
        <w:rPr>
          <w:rFonts w:ascii="Calibri" w:hAnsi="Calibri"/>
          <w:sz w:val="19"/>
        </w:rPr>
        <w:t>PRIMERA: Se tenga por presentada en tiempo la presente OBJECIÓN MOTIVADA Y SUBSANACIÓN TÉCNICA DOCUMENTAL conforme al Art. 56 de la Ley 1438 de 2011.</w:t>
      </w:r>
    </w:p>
    <w:p>
      <w:pPr>
        <w:spacing w:line="276" w:lineRule="auto"/>
        <w:ind w:left="288"/>
        <w:jc w:val="both"/>
      </w:pPr>
      <w:r>
        <w:rPr>
          <w:rFonts w:ascii="Calibri" w:hAnsi="Calibri"/>
          <w:sz w:val="19"/>
        </w:rPr>
        <w:t>SEGUNDA: Se declare el LEVANTAMIENTO TOTAL E INMEDIATO de las glosas controvertidas correspondientes a las Facturas FE-4011, FE-4012, FE-4013, FE-4014 y FE-4015, por valor acumulado de CUARENTA Y DOS MILLONES QUINIENTOS MIL PESOS M/CTE ($42.500.000 COP).</w:t>
      </w:r>
    </w:p>
    <w:p>
      <w:pPr>
        <w:spacing w:line="276" w:lineRule="auto"/>
        <w:ind w:left="288"/>
        <w:jc w:val="both"/>
      </w:pPr>
      <w:r>
        <w:rPr>
          <w:rFonts w:ascii="Calibri" w:hAnsi="Calibri"/>
          <w:sz w:val="19"/>
        </w:rPr>
        <w:t>TERCERA: Se proceda al GIRO DIRECTO de los recursos reclamados a la cuenta bancaria de CLÍNICA METROPOLITANA DE ESPECIALIDADES S.A.S. dentro del término perentorio de cinco (5) días hábiles siguientes al recibo del presente memorial.</w:t>
      </w:r>
    </w:p>
    <w:p>
      <w:pPr>
        <w:spacing w:line="276" w:lineRule="auto"/>
        <w:ind w:left="288"/>
        <w:jc w:val="both"/>
      </w:pPr>
      <w:r>
        <w:rPr>
          <w:rFonts w:ascii="Calibri" w:hAnsi="Calibri"/>
          <w:sz w:val="19"/>
        </w:rPr>
        <w:t>CUARTA: En caso de persistir discrepancia, se convoque de manera inmediata a MESA DE CONCILIACIÓN EXTRAJUDICIAL ante la Superintendencia Nacional de Salud conforme al Art. 41 de la Ley 1122 de 2007.</w:t>
      </w:r>
    </w:p>
    <w:p>
      <w:pPr>
        <w:spacing w:line="276" w:lineRule="auto"/>
        <w:jc w:val="both"/>
      </w:pPr>
      <w:r>
        <w:rPr>
          <w:rFonts w:ascii="Calibri" w:hAnsi="Calibri"/>
          <w:b/>
          <w:sz w:val="20"/>
        </w:rPr>
        <w:t>V. ADVERTENCIA PROCESAL — SILENCIO POSITIVO Y TÍTULO EJECUTIVO COMPLEJO</w:t>
        <w:br/>
      </w:r>
      <w:r>
        <w:rPr>
          <w:rFonts w:ascii="Calibri" w:hAnsi="Calibri"/>
          <w:color w:val="B45309"/>
          <w:sz w:val="18"/>
        </w:rPr>
        <w:t>Se advierte expresamente a la entidad pagadora que, de conformidad con el artículo 56 de la Ley 1438 de 2011, la EPS dispone de un término fatal de diez (10) días hábiles para decidir sobre las objeciones aquí formuladas. El vencimiento de dicho plazo sin pronunciamiento expreso configurará el LEVANTAMIENTO TÁCITO POR SILENCIO POSITIVO de la totalidad de los valores objetados, quedando constituido un TÍTULO EJECUTIVO COMPLEJO exigible por la vía del proceso ejecutivo ordinario (Art. 422 C.G.P.) con las medidas cautelares de embargo correspondientes.</w:t>
      </w:r>
    </w:p>
    <w:p/>
    <w:p>
      <w:pPr>
        <w:spacing w:line="276" w:lineRule="auto"/>
      </w:pPr>
      <w:r>
        <w:rPr>
          <w:rFonts w:ascii="Consolas" w:hAnsi="Consolas"/>
          <w:color w:val="1E293B"/>
          <w:sz w:val="17"/>
        </w:rPr>
        <w:t>Atentamente,</w:t>
        <w:br/>
        <w:br/>
        <w:br/>
        <w:t>_____________________________________________________</w:t>
        <w:br/>
        <w:t>MANUEL ENRIQUE PRADA FORERO</w:t>
        <w:br/>
        <w:t>C.C. 91.278.456 de Bucaramanga</w:t>
        <w:br/>
        <w:t>T.P. No. 176.633 del C.S. de la Judicatura</w:t>
        <w:br/>
        <w:t>Apoderado Especial · CLÍNICA METROPOLITANA DE ESPECIALIDADES S.A.S.</w:t>
        <w:br/>
        <w:t>Contacto Jurídico: legal@abogado.guanes.biz</w:t>
        <w:br/>
        <w:br/>
        <w:t>=====================================================</w:t>
        <w:br/>
        <w:t>SELLO CRIPTOGRÁFICO SHA-256 DE VERIFICACIÓN FORENSE:</w:t>
        <w:br/>
        <w:t>5EA2AB003B5F605385383509C16DCC6EE5CCF1ED05E35A2AC36AB04FADB0E552</w:t>
        <w:br/>
        <w:t>Estampa Temporal UTC: 2026-09-26 21:45:08 UTC</w:t>
        <w:br/>
        <w:t>=====================================================</w:t>
      </w:r>
    </w:p>
    <w:sectPr w:rsidR="00FC693F" w:rsidRPr="0006063C" w:rsidSect="00034616">
      <w:pgSz w:w="12240" w:h="15840"/>
      <w:pgMar w:top="1411" w:right="1411" w:bottom="1411"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