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76" w:lineRule="auto"/>
      </w:pPr>
      <w:r>
        <w:rPr>
          <w:rFonts w:ascii="Calibri" w:hAnsi="Calibri"/>
          <w:b/>
          <w:color w:val="0F172A"/>
          <w:sz w:val="21"/>
        </w:rPr>
        <w:t>SEÑOR</w:t>
        <w:br/>
        <w:t>JUEZ CIVIL MUNICIPAL DE BUCARAMANGA (REPARTO)</w:t>
        <w:br/>
        <w:t>E. S. D.</w:t>
        <w:br/>
        <w:br/>
        <w:t>REFERENCIA: DEMANDA EJECUTIVA SINGULAR DE MENOR CUANTÍA</w:t>
        <w:br/>
        <w:t>DEMANDANTE: BANCO COMERCIAL DE COLOMBIA S.A. (NIT 890.123.456-7)</w:t>
        <w:br/>
        <w:t>DEMANDADO:  INDUSTRIAL DE MUEBLES Y MADERAS S.A.S. (NIT 901.876.543-2)</w:t>
        <w:br/>
        <w:t>TÍTULO:     PAGARÉ NO. PG-2024-8849</w:t>
        <w:br/>
        <w:t>ASUNTO:     SOLICITUD DE MANDAMIENTO DE PAGO Y MEDIDAS CAUTELARES</w:t>
        <w:br/>
      </w:r>
    </w:p>
    <w:p>
      <w:pPr>
        <w:spacing w:line="276" w:lineRule="auto"/>
        <w:jc w:val="both"/>
      </w:pPr>
      <w:r>
        <w:rPr>
          <w:rFonts w:ascii="Calibri" w:hAnsi="Calibri"/>
          <w:sz w:val="20"/>
        </w:rPr>
        <w:t>MANUEL ENRIQUE PRADA FORERO, mayor de edad, domiciliado y residente en esta ciudad, abogado en ejercicio, portador de la Tarjeta Profesional No. 176.633 del C.S. de la Judicatura del Consejo Superior de la Judicatura, actuando en calidad de apoderado especial de la sociedad BANCO COMERCIAL DE COLOMBIA S.A., identificada con NIT 890.123.456-7, según poder especial que se adjunta a este memorial, muy respetuosamente presento ante su despacho DEMANDA EJECUTIVA SINGULAR DE MENOR CUANTÍA en contra de la sociedad INDUSTRIAL DE MUEBLES Y MADERAS S.A.S., identificada con NIT 901.876.543-2, representada legalmente por quien haga sus veces, con el fin de que se libre en su contra MANDAMIENTO DE PAGO conforme a los artículos 422, 430 y concordantes del Código General del Proceso, con sustento en las siguientes pretensiones y hechos:</w:t>
      </w:r>
    </w:p>
    <w:p>
      <w:pPr>
        <w:spacing w:line="276" w:lineRule="auto"/>
      </w:pPr>
      <w:r>
        <w:rPr>
          <w:rFonts w:ascii="Calibri" w:hAnsi="Calibri"/>
          <w:b/>
          <w:color w:val="0F172A"/>
          <w:sz w:val="22"/>
        </w:rPr>
        <w:t>I. PRETENSIONES</w:t>
        <w:br/>
      </w:r>
    </w:p>
    <w:p>
      <w:pPr>
        <w:spacing w:line="276" w:lineRule="auto"/>
        <w:ind w:left="288"/>
        <w:jc w:val="both"/>
      </w:pPr>
      <w:r>
        <w:rPr>
          <w:rFonts w:ascii="Calibri" w:hAnsi="Calibri"/>
          <w:sz w:val="19"/>
        </w:rPr>
        <w:t>PRIMERA: Librar MANDAMIENTO DE PAGO por vía ejecutiva a favor de mi poderdante, BANCO COMERCIAL DE COLOMBIA S.A., y a cargo de la sociedad demandada, INDUSTRIAL DE MUEBLES Y MADERAS S.A.S., por la suma de OCHENTA Y CINCO MILLONES DE PESOS M/CTE ($85.000.000 COP) por concepto de capital insoluto incorporado en el PAGARÉ No. PG-2024-8849.</w:t>
      </w:r>
    </w:p>
    <w:p>
      <w:pPr>
        <w:spacing w:line="276" w:lineRule="auto"/>
        <w:ind w:left="288"/>
        <w:jc w:val="both"/>
      </w:pPr>
      <w:r>
        <w:rPr>
          <w:rFonts w:ascii="Calibri" w:hAnsi="Calibri"/>
          <w:sz w:val="19"/>
        </w:rPr>
        <w:t>SEGUNDA: Librar mandamiento de pago por la suma de ONCE MILLONES CUATROCIENTOS DIECIOCHO MIL SETECIENTOS CINCUENTA PESOS M/CTE ($11.418.750 COP), correspondientes al saldo insoluto de INTERESES MORATORIOS causados desde el 10 de febrero de 2025 hasta la fecha de corte, habida cuenta de la imputación legal estricta de abonos por valor de $15.000.000 COP efectuada exclusivamente al pago de intereses conforme al artículo 1653 del Código Civil.</w:t>
      </w:r>
    </w:p>
    <w:p>
      <w:pPr>
        <w:spacing w:line="276" w:lineRule="auto"/>
        <w:ind w:left="288"/>
        <w:jc w:val="both"/>
      </w:pPr>
      <w:r>
        <w:rPr>
          <w:rFonts w:ascii="Calibri" w:hAnsi="Calibri"/>
          <w:sz w:val="19"/>
        </w:rPr>
        <w:t>TERCERA: Condenar al pago de los INTERESES MORATORIOS que se sigan causando sobre el saldo de capital insoluto ($85.000.000 COP) a partir de la fecha de corte y hasta que se efectúe el pago total y definitivo de la obligación, a la tasa máxima legal certificada por la Superintendencia Financiera de Colombia (Art. 884 C.Co.).</w:t>
      </w:r>
    </w:p>
    <w:p>
      <w:pPr>
        <w:spacing w:line="276" w:lineRule="auto"/>
        <w:ind w:left="288"/>
        <w:jc w:val="both"/>
      </w:pPr>
      <w:r>
        <w:rPr>
          <w:rFonts w:ascii="Calibri" w:hAnsi="Calibri"/>
          <w:sz w:val="19"/>
        </w:rPr>
        <w:t>CUARTA: Condenar a la sociedad demandada al pago de las COSTAS y AG䍘NCIAS EN DERECHO que se generen en el presente proceso.</w:t>
      </w:r>
    </w:p>
    <w:p>
      <w:pPr>
        <w:spacing w:line="276" w:lineRule="auto"/>
      </w:pPr>
      <w:r>
        <w:rPr>
          <w:rFonts w:ascii="Calibri" w:hAnsi="Calibri"/>
          <w:b/>
          <w:color w:val="0F172A"/>
          <w:sz w:val="22"/>
        </w:rPr>
        <w:t>II. SOLICITUD DE MEDIDAS CAUTELARES PREVIAS (ART. 599 C.G.P.)</w:t>
        <w:br/>
      </w:r>
    </w:p>
    <w:p>
      <w:pPr>
        <w:spacing w:line="276" w:lineRule="auto"/>
        <w:jc w:val="both"/>
      </w:pPr>
      <w:r>
        <w:rPr>
          <w:rFonts w:ascii="Calibri" w:hAnsi="Calibri"/>
          <w:sz w:val="19"/>
        </w:rPr>
        <w:t>Conforme al artículo 599 del Código General del Proceso, solicito muy respetuosamente al señor Juez decretar de manera previa y simultánea con la orden de pago el EMBARGO Y RETENCIÓN de los dineros que la demandada, INDUSTRIAL DE MUEBLES Y MADERAS S.A.S. (NIT 901.876.543-2), tenga o llegue a tener depositados en cuentas corrientes, cuentas de ahorros, certificados de depósito a término (CDT) y cualquier otro producto financiero en las entidades vigiladas por la Superintendencia Financiera de Colombia, limitando la medida cautelar hasta por el monto que su despacho estime suficiente conforme al artículo 83 del C.G.P. (150% del crédito exigible).</w:t>
      </w:r>
    </w:p>
    <w:p>
      <w:pPr>
        <w:spacing w:line="276" w:lineRule="auto"/>
      </w:pPr>
      <w:r>
        <w:rPr>
          <w:rFonts w:ascii="Calibri" w:hAnsi="Calibri"/>
          <w:b/>
          <w:color w:val="0F172A"/>
          <w:sz w:val="22"/>
        </w:rPr>
        <w:t>III. HECHOS</w:t>
        <w:br/>
      </w:r>
    </w:p>
    <w:p>
      <w:pPr>
        <w:spacing w:line="276" w:lineRule="auto"/>
        <w:ind w:left="288"/>
        <w:jc w:val="both"/>
      </w:pPr>
      <w:r>
        <w:rPr>
          <w:rFonts w:ascii="Calibri" w:hAnsi="Calibri"/>
          <w:sz w:val="19"/>
        </w:rPr>
        <w:t>1. La sociedad demandada suscribió a favor de mi poderdante el PAGARÉ No. PG-2024-8849 por valor nominal de OCHENTA Y CINCO MILLONES DE PESOS M/CTE ($85.000.000 COP), con fecha de exigibilidad el día 10 de febrero de 2025.</w:t>
      </w:r>
    </w:p>
    <w:p>
      <w:pPr>
        <w:spacing w:line="276" w:lineRule="auto"/>
        <w:ind w:left="288"/>
        <w:jc w:val="both"/>
      </w:pPr>
      <w:r>
        <w:rPr>
          <w:rFonts w:ascii="Calibri" w:hAnsi="Calibri"/>
          <w:sz w:val="19"/>
        </w:rPr>
        <w:t>2. Llegada la fecha de vencimiento pactada, la sociedad obligada incumplió el pago total de la suma debida, incurriendo en mora a partir del 10 de febrero de 2025.</w:t>
      </w:r>
    </w:p>
    <w:p>
      <w:pPr>
        <w:spacing w:line="276" w:lineRule="auto"/>
        <w:ind w:left="288"/>
        <w:jc w:val="both"/>
      </w:pPr>
      <w:r>
        <w:rPr>
          <w:rFonts w:ascii="Calibri" w:hAnsi="Calibri"/>
          <w:sz w:val="19"/>
        </w:rPr>
        <w:t>3. A la fecha de radicación de la presente demanda, han transcurrido quinientos noventa y tres (593) días de mora comercial computados bajo la base estándar de 360 días anuales.</w:t>
      </w:r>
    </w:p>
    <w:p>
      <w:pPr>
        <w:spacing w:line="276" w:lineRule="auto"/>
        <w:ind w:left="288"/>
        <w:jc w:val="both"/>
      </w:pPr>
      <w:r>
        <w:rPr>
          <w:rFonts w:ascii="Calibri" w:hAnsi="Calibri"/>
          <w:sz w:val="19"/>
        </w:rPr>
        <w:t>4. Durante dicho término, la demandada realizó dos abonos parciales: uno el día 15 de julio de 2025 por $5.000.000 COP y otro el 10 de diciembre de 2025 por $10.000.000 COP, para un total recaudado de $15.000.000 COP.</w:t>
      </w:r>
    </w:p>
    <w:p>
      <w:pPr>
        <w:spacing w:line="276" w:lineRule="auto"/>
        <w:ind w:left="288"/>
        <w:jc w:val="both"/>
      </w:pPr>
      <w:r>
        <w:rPr>
          <w:rFonts w:ascii="Calibri" w:hAnsi="Calibri"/>
          <w:sz w:val="19"/>
        </w:rPr>
        <w:t>5. En estricta aplicación del artículo 1653 del Código Civil, dichos abonos se imputaron de manera forzosa primeramente a los intereses moratorios causados y acumulados, sin que operara amortización a capital, por cuanto a las fechas de abono los intereses causados excedían con creces el monto pagado.</w:t>
      </w:r>
    </w:p>
    <w:p>
      <w:pPr>
        <w:spacing w:line="276" w:lineRule="auto"/>
        <w:ind w:left="288"/>
        <w:jc w:val="both"/>
      </w:pPr>
      <w:r>
        <w:rPr>
          <w:rFonts w:ascii="Calibri" w:hAnsi="Calibri"/>
          <w:sz w:val="19"/>
        </w:rPr>
        <w:t>6. La obligación reúne de manera copulativa los requisitos de claridad, expresividad y exigibilidad actual exigidos por el artículo 422 del Código General del Proceso, prestando pleno mérito ejecutivo.</w:t>
      </w:r>
    </w:p>
    <w:p>
      <w:r>
        <w:rPr>
          <w:rFonts w:ascii="Calibri" w:hAnsi="Calibri"/>
          <w:b/>
          <w:color w:val="0F172A"/>
          <w:sz w:val="22"/>
        </w:rPr>
        <w:t>IV. ANEXO PERICIAL Y DETERMINISTA DE LIQUIDACIÓN DE CRÉDITO</w:t>
        <w:br/>
      </w:r>
    </w:p>
    <w:tbl>
      <w:tblPr>
        <w:tblW w:type="auto" w:w="0"/>
        <w:jc w:val="center"/>
        <w:tblLook w:firstColumn="1" w:firstRow="1" w:lastColumn="0" w:lastRow="0" w:noHBand="0" w:noVBand="1" w:val="04A0"/>
      </w:tblPr>
      <w:tblGrid>
        <w:gridCol w:w="1570"/>
        <w:gridCol w:w="1570"/>
        <w:gridCol w:w="1570"/>
        <w:gridCol w:w="1570"/>
        <w:gridCol w:w="1570"/>
        <w:gridCol w:w="1570"/>
      </w:tblGrid>
      <w:tr>
        <w:tc>
          <w:tcPr>
            <w:tcW w:type="dxa" w:w="1728"/>
            <w:tcMar>
              <w:top w:w="70" w:type="dxa"/>
              <w:bottom w:w="70" w:type="dxa"/>
              <w:left w:w="90" w:type="dxa"/>
              <w:right w:w="90" w:type="dxa"/>
            </w:tcMar>
            <w:shd w:fill="0F172A"/>
          </w:tcPr>
          <w:p>
            <w:pPr>
              <w:jc w:val="left"/>
            </w:pPr>
            <w:r>
              <w:rPr>
                <w:rFonts w:ascii="Calibri" w:hAnsi="Calibri"/>
                <w:b/>
                <w:color w:val="FFFFFF"/>
                <w:sz w:val="17"/>
              </w:rPr>
              <w:t>Período</w:t>
            </w:r>
          </w:p>
        </w:tc>
        <w:tc>
          <w:tcPr>
            <w:tcW w:type="dxa" w:w="1584"/>
            <w:tcMar>
              <w:top w:w="70" w:type="dxa"/>
              <w:bottom w:w="70" w:type="dxa"/>
              <w:left w:w="90" w:type="dxa"/>
              <w:right w:w="90" w:type="dxa"/>
            </w:tcMar>
            <w:shd w:fill="0F172A"/>
          </w:tcPr>
          <w:p>
            <w:pPr>
              <w:jc w:val="right"/>
            </w:pPr>
            <w:r>
              <w:rPr>
                <w:rFonts w:ascii="Calibri" w:hAnsi="Calibri"/>
                <w:b/>
                <w:color w:val="FFFFFF"/>
                <w:sz w:val="17"/>
              </w:rPr>
              <w:t>Capital Base</w:t>
            </w:r>
          </w:p>
        </w:tc>
        <w:tc>
          <w:tcPr>
            <w:tcW w:type="dxa" w:w="1584"/>
            <w:tcMar>
              <w:top w:w="70" w:type="dxa"/>
              <w:bottom w:w="70" w:type="dxa"/>
              <w:left w:w="90" w:type="dxa"/>
              <w:right w:w="90" w:type="dxa"/>
            </w:tcMar>
            <w:shd w:fill="0F172A"/>
          </w:tcPr>
          <w:p>
            <w:pPr>
              <w:jc w:val="center"/>
            </w:pPr>
            <w:r>
              <w:rPr>
                <w:rFonts w:ascii="Calibri" w:hAnsi="Calibri"/>
                <w:b/>
                <w:color w:val="FFFFFF"/>
                <w:sz w:val="17"/>
              </w:rPr>
              <w:t>Tasa Usura E.A.</w:t>
            </w:r>
          </w:p>
        </w:tc>
        <w:tc>
          <w:tcPr>
            <w:tcW w:type="dxa" w:w="1584"/>
            <w:tcMar>
              <w:top w:w="70" w:type="dxa"/>
              <w:bottom w:w="70" w:type="dxa"/>
              <w:left w:w="90" w:type="dxa"/>
              <w:right w:w="90" w:type="dxa"/>
            </w:tcMar>
            <w:shd w:fill="0F172A"/>
          </w:tcPr>
          <w:p>
            <w:pPr>
              <w:jc w:val="right"/>
            </w:pPr>
            <w:r>
              <w:rPr>
                <w:rFonts w:ascii="Calibri" w:hAnsi="Calibri"/>
                <w:b/>
                <w:color w:val="FFFFFF"/>
                <w:sz w:val="17"/>
              </w:rPr>
              <w:t>Interés Causado</w:t>
            </w:r>
          </w:p>
        </w:tc>
        <w:tc>
          <w:tcPr>
            <w:tcW w:type="dxa" w:w="1584"/>
            <w:tcMar>
              <w:top w:w="70" w:type="dxa"/>
              <w:bottom w:w="70" w:type="dxa"/>
              <w:left w:w="90" w:type="dxa"/>
              <w:right w:w="90" w:type="dxa"/>
            </w:tcMar>
            <w:shd w:fill="0F172A"/>
          </w:tcPr>
          <w:p>
            <w:pPr>
              <w:jc w:val="right"/>
            </w:pPr>
            <w:r>
              <w:rPr>
                <w:rFonts w:ascii="Calibri" w:hAnsi="Calibri"/>
                <w:b/>
                <w:color w:val="FFFFFF"/>
                <w:sz w:val="17"/>
              </w:rPr>
              <w:t>Abono Imputado</w:t>
            </w:r>
          </w:p>
        </w:tc>
        <w:tc>
          <w:tcPr>
            <w:tcW w:type="dxa" w:w="1872"/>
            <w:tcMar>
              <w:top w:w="70" w:type="dxa"/>
              <w:bottom w:w="70" w:type="dxa"/>
              <w:left w:w="90" w:type="dxa"/>
              <w:right w:w="90" w:type="dxa"/>
            </w:tcMar>
            <w:shd w:fill="0F172A"/>
          </w:tcPr>
          <w:p>
            <w:pPr>
              <w:jc w:val="right"/>
            </w:pPr>
            <w:r>
              <w:rPr>
                <w:rFonts w:ascii="Calibri" w:hAnsi="Calibri"/>
                <w:b/>
                <w:color w:val="FFFFFF"/>
                <w:sz w:val="17"/>
              </w:rPr>
              <w:t>Saldo Exigible</w:t>
            </w:r>
          </w:p>
        </w:tc>
      </w:tr>
      <w:tr>
        <w:tc>
          <w:tcPr>
            <w:tcW w:type="dxa" w:w="1728"/>
            <w:tcMar>
              <w:top w:w="70" w:type="dxa"/>
              <w:bottom w:w="70" w:type="dxa"/>
              <w:left w:w="90" w:type="dxa"/>
              <w:right w:w="90" w:type="dxa"/>
            </w:tcMar>
            <w:shd w:fill="F8FAFC"/>
          </w:tcPr>
          <w:p>
            <w:pPr>
              <w:jc w:val="left"/>
            </w:pPr>
            <w:r>
              <w:rPr>
                <w:rFonts w:ascii="Calibri" w:hAnsi="Calibri"/>
                <w:sz w:val="17"/>
              </w:rPr>
              <w:t>Feb 2025</w:t>
            </w:r>
          </w:p>
        </w:tc>
        <w:tc>
          <w:tcPr>
            <w:tcW w:type="dxa" w:w="1584"/>
            <w:tcMar>
              <w:top w:w="70" w:type="dxa"/>
              <w:bottom w:w="70" w:type="dxa"/>
              <w:left w:w="90" w:type="dxa"/>
              <w:right w:w="90" w:type="dxa"/>
            </w:tcMar>
            <w:shd w:fill="F8FAFC"/>
          </w:tcPr>
          <w:p>
            <w:pPr>
              <w:jc w:val="right"/>
            </w:pPr>
            <w:r>
              <w:rPr>
                <w:rFonts w:ascii="Calibri" w:hAnsi="Calibri"/>
                <w:sz w:val="17"/>
              </w:rPr>
              <w:t>$85.000.000</w:t>
            </w:r>
          </w:p>
        </w:tc>
        <w:tc>
          <w:tcPr>
            <w:tcW w:type="dxa" w:w="1584"/>
            <w:tcMar>
              <w:top w:w="70" w:type="dxa"/>
              <w:bottom w:w="70" w:type="dxa"/>
              <w:left w:w="90" w:type="dxa"/>
              <w:right w:w="90" w:type="dxa"/>
            </w:tcMar>
            <w:shd w:fill="F8FAFC"/>
          </w:tcPr>
          <w:p>
            <w:pPr>
              <w:jc w:val="center"/>
            </w:pPr>
            <w:r>
              <w:rPr>
                <w:rFonts w:ascii="Calibri" w:hAnsi="Calibri"/>
                <w:sz w:val="17"/>
              </w:rPr>
              <w:t>28.50%</w:t>
            </w:r>
          </w:p>
        </w:tc>
        <w:tc>
          <w:tcPr>
            <w:tcW w:type="dxa" w:w="1584"/>
            <w:tcMar>
              <w:top w:w="70" w:type="dxa"/>
              <w:bottom w:w="70" w:type="dxa"/>
              <w:left w:w="90" w:type="dxa"/>
              <w:right w:w="90" w:type="dxa"/>
            </w:tcMar>
            <w:shd w:fill="F8FAFC"/>
          </w:tcPr>
          <w:p>
            <w:pPr>
              <w:jc w:val="right"/>
            </w:pPr>
            <w:r>
              <w:rPr>
                <w:rFonts w:ascii="Calibri" w:hAnsi="Calibri"/>
                <w:sz w:val="17"/>
              </w:rPr>
              <w:t>$1.071.000</w:t>
            </w:r>
          </w:p>
        </w:tc>
        <w:tc>
          <w:tcPr>
            <w:tcW w:type="dxa" w:w="1584"/>
            <w:tcMar>
              <w:top w:w="70" w:type="dxa"/>
              <w:bottom w:w="70" w:type="dxa"/>
              <w:left w:w="90" w:type="dxa"/>
              <w:right w:w="90" w:type="dxa"/>
            </w:tcMar>
            <w:shd w:fill="F8FAFC"/>
          </w:tcPr>
          <w:p>
            <w:pPr>
              <w:jc w:val="right"/>
            </w:pPr>
            <w:r>
              <w:rPr>
                <w:rFonts w:ascii="Calibri" w:hAnsi="Calibri"/>
                <w:sz w:val="17"/>
              </w:rPr>
              <w:t>$0</w:t>
            </w:r>
          </w:p>
        </w:tc>
        <w:tc>
          <w:tcPr>
            <w:tcW w:type="dxa" w:w="1872"/>
            <w:tcMar>
              <w:top w:w="70" w:type="dxa"/>
              <w:bottom w:w="70" w:type="dxa"/>
              <w:left w:w="90" w:type="dxa"/>
              <w:right w:w="90" w:type="dxa"/>
            </w:tcMar>
            <w:shd w:fill="F8FAFC"/>
          </w:tcPr>
          <w:p>
            <w:pPr>
              <w:jc w:val="right"/>
            </w:pPr>
            <w:r>
              <w:rPr>
                <w:rFonts w:ascii="Calibri" w:hAnsi="Calibri"/>
                <w:sz w:val="17"/>
              </w:rPr>
              <w:t>$86.071.000</w:t>
            </w:r>
          </w:p>
        </w:tc>
      </w:tr>
      <w:tr>
        <w:tc>
          <w:tcPr>
            <w:tcW w:type="dxa" w:w="1728"/>
            <w:tcMar>
              <w:top w:w="70" w:type="dxa"/>
              <w:bottom w:w="70" w:type="dxa"/>
              <w:left w:w="90" w:type="dxa"/>
              <w:right w:w="90" w:type="dxa"/>
            </w:tcMar>
            <w:shd w:fill="FFFFFF"/>
          </w:tcPr>
          <w:p>
            <w:pPr>
              <w:jc w:val="left"/>
            </w:pPr>
            <w:r>
              <w:rPr>
                <w:rFonts w:ascii="Calibri" w:hAnsi="Calibri"/>
                <w:sz w:val="17"/>
              </w:rPr>
              <w:t>Marzo 2025</w:t>
            </w:r>
          </w:p>
        </w:tc>
        <w:tc>
          <w:tcPr>
            <w:tcW w:type="dxa" w:w="1584"/>
            <w:tcMar>
              <w:top w:w="70" w:type="dxa"/>
              <w:bottom w:w="70" w:type="dxa"/>
              <w:left w:w="90" w:type="dxa"/>
              <w:right w:w="90" w:type="dxa"/>
            </w:tcMar>
            <w:shd w:fill="FFFFFF"/>
          </w:tcPr>
          <w:p>
            <w:pPr>
              <w:jc w:val="right"/>
            </w:pPr>
            <w:r>
              <w:rPr>
                <w:rFonts w:ascii="Calibri" w:hAnsi="Calibri"/>
                <w:sz w:val="17"/>
              </w:rPr>
              <w:t>$85.000.000</w:t>
            </w:r>
          </w:p>
        </w:tc>
        <w:tc>
          <w:tcPr>
            <w:tcW w:type="dxa" w:w="1584"/>
            <w:tcMar>
              <w:top w:w="70" w:type="dxa"/>
              <w:bottom w:w="70" w:type="dxa"/>
              <w:left w:w="90" w:type="dxa"/>
              <w:right w:w="90" w:type="dxa"/>
            </w:tcMar>
            <w:shd w:fill="FFFFFF"/>
          </w:tcPr>
          <w:p>
            <w:pPr>
              <w:jc w:val="center"/>
            </w:pPr>
            <w:r>
              <w:rPr>
                <w:rFonts w:ascii="Calibri" w:hAnsi="Calibri"/>
                <w:sz w:val="17"/>
              </w:rPr>
              <w:t>28.30%</w:t>
            </w:r>
          </w:p>
        </w:tc>
        <w:tc>
          <w:tcPr>
            <w:tcW w:type="dxa" w:w="1584"/>
            <w:tcMar>
              <w:top w:w="70" w:type="dxa"/>
              <w:bottom w:w="70" w:type="dxa"/>
              <w:left w:w="90" w:type="dxa"/>
              <w:right w:w="90" w:type="dxa"/>
            </w:tcMar>
            <w:shd w:fill="FFFFFF"/>
          </w:tcPr>
          <w:p>
            <w:pPr>
              <w:jc w:val="right"/>
            </w:pPr>
            <w:r>
              <w:rPr>
                <w:rFonts w:ascii="Calibri" w:hAnsi="Calibri"/>
                <w:sz w:val="17"/>
              </w:rPr>
              <w:t>$1.776.500</w:t>
            </w:r>
          </w:p>
        </w:tc>
        <w:tc>
          <w:tcPr>
            <w:tcW w:type="dxa" w:w="1584"/>
            <w:tcMar>
              <w:top w:w="70" w:type="dxa"/>
              <w:bottom w:w="70" w:type="dxa"/>
              <w:left w:w="90" w:type="dxa"/>
              <w:right w:w="90" w:type="dxa"/>
            </w:tcMar>
            <w:shd w:fill="FFFFFF"/>
          </w:tcPr>
          <w:p>
            <w:pPr>
              <w:jc w:val="right"/>
            </w:pPr>
            <w:r>
              <w:rPr>
                <w:rFonts w:ascii="Calibri" w:hAnsi="Calibri"/>
                <w:sz w:val="17"/>
              </w:rPr>
              <w:t>$0</w:t>
            </w:r>
          </w:p>
        </w:tc>
        <w:tc>
          <w:tcPr>
            <w:tcW w:type="dxa" w:w="1872"/>
            <w:tcMar>
              <w:top w:w="70" w:type="dxa"/>
              <w:bottom w:w="70" w:type="dxa"/>
              <w:left w:w="90" w:type="dxa"/>
              <w:right w:w="90" w:type="dxa"/>
            </w:tcMar>
            <w:shd w:fill="FFFFFF"/>
          </w:tcPr>
          <w:p>
            <w:pPr>
              <w:jc w:val="right"/>
            </w:pPr>
            <w:r>
              <w:rPr>
                <w:rFonts w:ascii="Calibri" w:hAnsi="Calibri"/>
                <w:sz w:val="17"/>
              </w:rPr>
              <w:t>$87.847.500</w:t>
            </w:r>
          </w:p>
        </w:tc>
      </w:tr>
      <w:tr>
        <w:tc>
          <w:tcPr>
            <w:tcW w:type="dxa" w:w="1728"/>
            <w:tcMar>
              <w:top w:w="70" w:type="dxa"/>
              <w:bottom w:w="70" w:type="dxa"/>
              <w:left w:w="90" w:type="dxa"/>
              <w:right w:w="90" w:type="dxa"/>
            </w:tcMar>
            <w:shd w:fill="F8FAFC"/>
          </w:tcPr>
          <w:p>
            <w:pPr>
              <w:jc w:val="left"/>
            </w:pPr>
            <w:r>
              <w:rPr>
                <w:rFonts w:ascii="Calibri" w:hAnsi="Calibri"/>
                <w:sz w:val="17"/>
              </w:rPr>
              <w:t>Abril 2025</w:t>
            </w:r>
          </w:p>
        </w:tc>
        <w:tc>
          <w:tcPr>
            <w:tcW w:type="dxa" w:w="1584"/>
            <w:tcMar>
              <w:top w:w="70" w:type="dxa"/>
              <w:bottom w:w="70" w:type="dxa"/>
              <w:left w:w="90" w:type="dxa"/>
              <w:right w:w="90" w:type="dxa"/>
            </w:tcMar>
            <w:shd w:fill="F8FAFC"/>
          </w:tcPr>
          <w:p>
            <w:pPr>
              <w:jc w:val="right"/>
            </w:pPr>
            <w:r>
              <w:rPr>
                <w:rFonts w:ascii="Calibri" w:hAnsi="Calibri"/>
                <w:sz w:val="17"/>
              </w:rPr>
              <w:t>$85.000.000</w:t>
            </w:r>
          </w:p>
        </w:tc>
        <w:tc>
          <w:tcPr>
            <w:tcW w:type="dxa" w:w="1584"/>
            <w:tcMar>
              <w:top w:w="70" w:type="dxa"/>
              <w:bottom w:w="70" w:type="dxa"/>
              <w:left w:w="90" w:type="dxa"/>
              <w:right w:w="90" w:type="dxa"/>
            </w:tcMar>
            <w:shd w:fill="F8FAFC"/>
          </w:tcPr>
          <w:p>
            <w:pPr>
              <w:jc w:val="center"/>
            </w:pPr>
            <w:r>
              <w:rPr>
                <w:rFonts w:ascii="Calibri" w:hAnsi="Calibri"/>
                <w:sz w:val="17"/>
              </w:rPr>
              <w:t>28.10%</w:t>
            </w:r>
          </w:p>
        </w:tc>
        <w:tc>
          <w:tcPr>
            <w:tcW w:type="dxa" w:w="1584"/>
            <w:tcMar>
              <w:top w:w="70" w:type="dxa"/>
              <w:bottom w:w="70" w:type="dxa"/>
              <w:left w:w="90" w:type="dxa"/>
              <w:right w:w="90" w:type="dxa"/>
            </w:tcMar>
            <w:shd w:fill="F8FAFC"/>
          </w:tcPr>
          <w:p>
            <w:pPr>
              <w:jc w:val="right"/>
            </w:pPr>
            <w:r>
              <w:rPr>
                <w:rFonts w:ascii="Calibri" w:hAnsi="Calibri"/>
                <w:sz w:val="17"/>
              </w:rPr>
              <w:t>$1.759.500</w:t>
            </w:r>
          </w:p>
        </w:tc>
        <w:tc>
          <w:tcPr>
            <w:tcW w:type="dxa" w:w="1584"/>
            <w:tcMar>
              <w:top w:w="70" w:type="dxa"/>
              <w:bottom w:w="70" w:type="dxa"/>
              <w:left w:w="90" w:type="dxa"/>
              <w:right w:w="90" w:type="dxa"/>
            </w:tcMar>
            <w:shd w:fill="F8FAFC"/>
          </w:tcPr>
          <w:p>
            <w:pPr>
              <w:jc w:val="right"/>
            </w:pPr>
            <w:r>
              <w:rPr>
                <w:rFonts w:ascii="Calibri" w:hAnsi="Calibri"/>
                <w:sz w:val="17"/>
              </w:rPr>
              <w:t>$0</w:t>
            </w:r>
          </w:p>
        </w:tc>
        <w:tc>
          <w:tcPr>
            <w:tcW w:type="dxa" w:w="1872"/>
            <w:tcMar>
              <w:top w:w="70" w:type="dxa"/>
              <w:bottom w:w="70" w:type="dxa"/>
              <w:left w:w="90" w:type="dxa"/>
              <w:right w:w="90" w:type="dxa"/>
            </w:tcMar>
            <w:shd w:fill="F8FAFC"/>
          </w:tcPr>
          <w:p>
            <w:pPr>
              <w:jc w:val="right"/>
            </w:pPr>
            <w:r>
              <w:rPr>
                <w:rFonts w:ascii="Calibri" w:hAnsi="Calibri"/>
                <w:sz w:val="17"/>
              </w:rPr>
              <w:t>$89.607.000</w:t>
            </w:r>
          </w:p>
        </w:tc>
      </w:tr>
      <w:tr>
        <w:tc>
          <w:tcPr>
            <w:tcW w:type="dxa" w:w="1728"/>
            <w:tcMar>
              <w:top w:w="70" w:type="dxa"/>
              <w:bottom w:w="70" w:type="dxa"/>
              <w:left w:w="90" w:type="dxa"/>
              <w:right w:w="90" w:type="dxa"/>
            </w:tcMar>
            <w:shd w:fill="FFFFFF"/>
          </w:tcPr>
          <w:p>
            <w:pPr>
              <w:jc w:val="left"/>
            </w:pPr>
            <w:r>
              <w:rPr>
                <w:rFonts w:ascii="Calibri" w:hAnsi="Calibri"/>
                <w:sz w:val="17"/>
              </w:rPr>
              <w:t>Mayo 2025</w:t>
            </w:r>
          </w:p>
        </w:tc>
        <w:tc>
          <w:tcPr>
            <w:tcW w:type="dxa" w:w="1584"/>
            <w:tcMar>
              <w:top w:w="70" w:type="dxa"/>
              <w:bottom w:w="70" w:type="dxa"/>
              <w:left w:w="90" w:type="dxa"/>
              <w:right w:w="90" w:type="dxa"/>
            </w:tcMar>
            <w:shd w:fill="FFFFFF"/>
          </w:tcPr>
          <w:p>
            <w:pPr>
              <w:jc w:val="right"/>
            </w:pPr>
            <w:r>
              <w:rPr>
                <w:rFonts w:ascii="Calibri" w:hAnsi="Calibri"/>
                <w:sz w:val="17"/>
              </w:rPr>
              <w:t>$85.000.000</w:t>
            </w:r>
          </w:p>
        </w:tc>
        <w:tc>
          <w:tcPr>
            <w:tcW w:type="dxa" w:w="1584"/>
            <w:tcMar>
              <w:top w:w="70" w:type="dxa"/>
              <w:bottom w:w="70" w:type="dxa"/>
              <w:left w:w="90" w:type="dxa"/>
              <w:right w:w="90" w:type="dxa"/>
            </w:tcMar>
            <w:shd w:fill="FFFFFF"/>
          </w:tcPr>
          <w:p>
            <w:pPr>
              <w:jc w:val="center"/>
            </w:pPr>
            <w:r>
              <w:rPr>
                <w:rFonts w:ascii="Calibri" w:hAnsi="Calibri"/>
                <w:sz w:val="17"/>
              </w:rPr>
              <w:t>27.90%</w:t>
            </w:r>
          </w:p>
        </w:tc>
        <w:tc>
          <w:tcPr>
            <w:tcW w:type="dxa" w:w="1584"/>
            <w:tcMar>
              <w:top w:w="70" w:type="dxa"/>
              <w:bottom w:w="70" w:type="dxa"/>
              <w:left w:w="90" w:type="dxa"/>
              <w:right w:w="90" w:type="dxa"/>
            </w:tcMar>
            <w:shd w:fill="FFFFFF"/>
          </w:tcPr>
          <w:p>
            <w:pPr>
              <w:jc w:val="right"/>
            </w:pPr>
            <w:r>
              <w:rPr>
                <w:rFonts w:ascii="Calibri" w:hAnsi="Calibri"/>
                <w:sz w:val="17"/>
              </w:rPr>
              <w:t>$1.751.000</w:t>
            </w:r>
          </w:p>
        </w:tc>
        <w:tc>
          <w:tcPr>
            <w:tcW w:type="dxa" w:w="1584"/>
            <w:tcMar>
              <w:top w:w="70" w:type="dxa"/>
              <w:bottom w:w="70" w:type="dxa"/>
              <w:left w:w="90" w:type="dxa"/>
              <w:right w:w="90" w:type="dxa"/>
            </w:tcMar>
            <w:shd w:fill="FFFFFF"/>
          </w:tcPr>
          <w:p>
            <w:pPr>
              <w:jc w:val="right"/>
            </w:pPr>
            <w:r>
              <w:rPr>
                <w:rFonts w:ascii="Calibri" w:hAnsi="Calibri"/>
                <w:sz w:val="17"/>
              </w:rPr>
              <w:t>$0</w:t>
            </w:r>
          </w:p>
        </w:tc>
        <w:tc>
          <w:tcPr>
            <w:tcW w:type="dxa" w:w="1872"/>
            <w:tcMar>
              <w:top w:w="70" w:type="dxa"/>
              <w:bottom w:w="70" w:type="dxa"/>
              <w:left w:w="90" w:type="dxa"/>
              <w:right w:w="90" w:type="dxa"/>
            </w:tcMar>
            <w:shd w:fill="FFFFFF"/>
          </w:tcPr>
          <w:p>
            <w:pPr>
              <w:jc w:val="right"/>
            </w:pPr>
            <w:r>
              <w:rPr>
                <w:rFonts w:ascii="Calibri" w:hAnsi="Calibri"/>
                <w:sz w:val="17"/>
              </w:rPr>
              <w:t>$91.358.000</w:t>
            </w:r>
          </w:p>
        </w:tc>
      </w:tr>
      <w:tr>
        <w:tc>
          <w:tcPr>
            <w:tcW w:type="dxa" w:w="1728"/>
            <w:tcMar>
              <w:top w:w="70" w:type="dxa"/>
              <w:bottom w:w="70" w:type="dxa"/>
              <w:left w:w="90" w:type="dxa"/>
              <w:right w:w="90" w:type="dxa"/>
            </w:tcMar>
            <w:shd w:fill="F8FAFC"/>
          </w:tcPr>
          <w:p>
            <w:pPr>
              <w:jc w:val="left"/>
            </w:pPr>
            <w:r>
              <w:rPr>
                <w:rFonts w:ascii="Calibri" w:hAnsi="Calibri"/>
                <w:sz w:val="17"/>
              </w:rPr>
              <w:t>Junio 2025</w:t>
            </w:r>
          </w:p>
        </w:tc>
        <w:tc>
          <w:tcPr>
            <w:tcW w:type="dxa" w:w="1584"/>
            <w:tcMar>
              <w:top w:w="70" w:type="dxa"/>
              <w:bottom w:w="70" w:type="dxa"/>
              <w:left w:w="90" w:type="dxa"/>
              <w:right w:w="90" w:type="dxa"/>
            </w:tcMar>
            <w:shd w:fill="F8FAFC"/>
          </w:tcPr>
          <w:p>
            <w:pPr>
              <w:jc w:val="right"/>
            </w:pPr>
            <w:r>
              <w:rPr>
                <w:rFonts w:ascii="Calibri" w:hAnsi="Calibri"/>
                <w:sz w:val="17"/>
              </w:rPr>
              <w:t>$85.000.000</w:t>
            </w:r>
          </w:p>
        </w:tc>
        <w:tc>
          <w:tcPr>
            <w:tcW w:type="dxa" w:w="1584"/>
            <w:tcMar>
              <w:top w:w="70" w:type="dxa"/>
              <w:bottom w:w="70" w:type="dxa"/>
              <w:left w:w="90" w:type="dxa"/>
              <w:right w:w="90" w:type="dxa"/>
            </w:tcMar>
            <w:shd w:fill="F8FAFC"/>
          </w:tcPr>
          <w:p>
            <w:pPr>
              <w:jc w:val="center"/>
            </w:pPr>
            <w:r>
              <w:rPr>
                <w:rFonts w:ascii="Calibri" w:hAnsi="Calibri"/>
                <w:sz w:val="17"/>
              </w:rPr>
              <w:t>27.60%</w:t>
            </w:r>
          </w:p>
        </w:tc>
        <w:tc>
          <w:tcPr>
            <w:tcW w:type="dxa" w:w="1584"/>
            <w:tcMar>
              <w:top w:w="70" w:type="dxa"/>
              <w:bottom w:w="70" w:type="dxa"/>
              <w:left w:w="90" w:type="dxa"/>
              <w:right w:w="90" w:type="dxa"/>
            </w:tcMar>
            <w:shd w:fill="F8FAFC"/>
          </w:tcPr>
          <w:p>
            <w:pPr>
              <w:jc w:val="right"/>
            </w:pPr>
            <w:r>
              <w:rPr>
                <w:rFonts w:ascii="Calibri" w:hAnsi="Calibri"/>
                <w:sz w:val="17"/>
              </w:rPr>
              <w:t>$1.734.000</w:t>
            </w:r>
          </w:p>
        </w:tc>
        <w:tc>
          <w:tcPr>
            <w:tcW w:type="dxa" w:w="1584"/>
            <w:tcMar>
              <w:top w:w="70" w:type="dxa"/>
              <w:bottom w:w="70" w:type="dxa"/>
              <w:left w:w="90" w:type="dxa"/>
              <w:right w:w="90" w:type="dxa"/>
            </w:tcMar>
            <w:shd w:fill="F8FAFC"/>
          </w:tcPr>
          <w:p>
            <w:pPr>
              <w:jc w:val="right"/>
            </w:pPr>
            <w:r>
              <w:rPr>
                <w:rFonts w:ascii="Calibri" w:hAnsi="Calibri"/>
                <w:sz w:val="17"/>
              </w:rPr>
              <w:t>$0</w:t>
            </w:r>
          </w:p>
        </w:tc>
        <w:tc>
          <w:tcPr>
            <w:tcW w:type="dxa" w:w="1872"/>
            <w:tcMar>
              <w:top w:w="70" w:type="dxa"/>
              <w:bottom w:w="70" w:type="dxa"/>
              <w:left w:w="90" w:type="dxa"/>
              <w:right w:w="90" w:type="dxa"/>
            </w:tcMar>
            <w:shd w:fill="F8FAFC"/>
          </w:tcPr>
          <w:p>
            <w:pPr>
              <w:jc w:val="right"/>
            </w:pPr>
            <w:r>
              <w:rPr>
                <w:rFonts w:ascii="Calibri" w:hAnsi="Calibri"/>
                <w:sz w:val="17"/>
              </w:rPr>
              <w:t>$93.092.000</w:t>
            </w:r>
          </w:p>
        </w:tc>
      </w:tr>
      <w:tr>
        <w:tc>
          <w:tcPr>
            <w:tcW w:type="dxa" w:w="1728"/>
            <w:tcMar>
              <w:top w:w="70" w:type="dxa"/>
              <w:bottom w:w="70" w:type="dxa"/>
              <w:left w:w="90" w:type="dxa"/>
              <w:right w:w="90" w:type="dxa"/>
            </w:tcMar>
            <w:shd w:fill="FFFFFF"/>
          </w:tcPr>
          <w:p>
            <w:pPr>
              <w:jc w:val="left"/>
            </w:pPr>
            <w:r>
              <w:rPr>
                <w:rFonts w:ascii="Calibri" w:hAnsi="Calibri"/>
                <w:sz w:val="17"/>
              </w:rPr>
              <w:t>Julio 2025</w:t>
            </w:r>
          </w:p>
        </w:tc>
        <w:tc>
          <w:tcPr>
            <w:tcW w:type="dxa" w:w="1584"/>
            <w:tcMar>
              <w:top w:w="70" w:type="dxa"/>
              <w:bottom w:w="70" w:type="dxa"/>
              <w:left w:w="90" w:type="dxa"/>
              <w:right w:w="90" w:type="dxa"/>
            </w:tcMar>
            <w:shd w:fill="FFFFFF"/>
          </w:tcPr>
          <w:p>
            <w:pPr>
              <w:jc w:val="right"/>
            </w:pPr>
            <w:r>
              <w:rPr>
                <w:rFonts w:ascii="Calibri" w:hAnsi="Calibri"/>
                <w:sz w:val="17"/>
              </w:rPr>
              <w:t>$85.000.000</w:t>
            </w:r>
          </w:p>
        </w:tc>
        <w:tc>
          <w:tcPr>
            <w:tcW w:type="dxa" w:w="1584"/>
            <w:tcMar>
              <w:top w:w="70" w:type="dxa"/>
              <w:bottom w:w="70" w:type="dxa"/>
              <w:left w:w="90" w:type="dxa"/>
              <w:right w:w="90" w:type="dxa"/>
            </w:tcMar>
            <w:shd w:fill="FFFFFF"/>
          </w:tcPr>
          <w:p>
            <w:pPr>
              <w:jc w:val="center"/>
            </w:pPr>
            <w:r>
              <w:rPr>
                <w:rFonts w:ascii="Calibri" w:hAnsi="Calibri"/>
                <w:sz w:val="17"/>
              </w:rPr>
              <w:t>27.40%</w:t>
            </w:r>
          </w:p>
        </w:tc>
        <w:tc>
          <w:tcPr>
            <w:tcW w:type="dxa" w:w="1584"/>
            <w:tcMar>
              <w:top w:w="70" w:type="dxa"/>
              <w:bottom w:w="70" w:type="dxa"/>
              <w:left w:w="90" w:type="dxa"/>
              <w:right w:w="90" w:type="dxa"/>
            </w:tcMar>
            <w:shd w:fill="FFFFFF"/>
          </w:tcPr>
          <w:p>
            <w:pPr>
              <w:jc w:val="right"/>
            </w:pPr>
            <w:r>
              <w:rPr>
                <w:rFonts w:ascii="Calibri" w:hAnsi="Calibri"/>
                <w:sz w:val="17"/>
              </w:rPr>
              <w:t>$1.725.500</w:t>
            </w:r>
          </w:p>
        </w:tc>
        <w:tc>
          <w:tcPr>
            <w:tcW w:type="dxa" w:w="1584"/>
            <w:tcMar>
              <w:top w:w="70" w:type="dxa"/>
              <w:bottom w:w="70" w:type="dxa"/>
              <w:left w:w="90" w:type="dxa"/>
              <w:right w:w="90" w:type="dxa"/>
            </w:tcMar>
            <w:shd w:fill="FFFFFF"/>
          </w:tcPr>
          <w:p>
            <w:pPr>
              <w:jc w:val="right"/>
            </w:pPr>
            <w:r>
              <w:rPr>
                <w:rFonts w:ascii="Calibri" w:hAnsi="Calibri"/>
                <w:sz w:val="17"/>
              </w:rPr>
              <w:t>-$5.000.000</w:t>
            </w:r>
          </w:p>
        </w:tc>
        <w:tc>
          <w:tcPr>
            <w:tcW w:type="dxa" w:w="1872"/>
            <w:tcMar>
              <w:top w:w="70" w:type="dxa"/>
              <w:bottom w:w="70" w:type="dxa"/>
              <w:left w:w="90" w:type="dxa"/>
              <w:right w:w="90" w:type="dxa"/>
            </w:tcMar>
            <w:shd w:fill="FFFFFF"/>
          </w:tcPr>
          <w:p>
            <w:pPr>
              <w:jc w:val="right"/>
            </w:pPr>
            <w:r>
              <w:rPr>
                <w:rFonts w:ascii="Calibri" w:hAnsi="Calibri"/>
                <w:sz w:val="17"/>
              </w:rPr>
              <w:t>$89.817.500</w:t>
            </w:r>
          </w:p>
        </w:tc>
      </w:tr>
      <w:tr>
        <w:tc>
          <w:tcPr>
            <w:tcW w:type="dxa" w:w="1728"/>
            <w:tcMar>
              <w:top w:w="70" w:type="dxa"/>
              <w:bottom w:w="70" w:type="dxa"/>
              <w:left w:w="90" w:type="dxa"/>
              <w:right w:w="90" w:type="dxa"/>
            </w:tcMar>
            <w:shd w:fill="F8FAFC"/>
          </w:tcPr>
          <w:p>
            <w:pPr>
              <w:jc w:val="left"/>
            </w:pPr>
            <w:r>
              <w:rPr>
                <w:rFonts w:ascii="Calibri" w:hAnsi="Calibri"/>
                <w:sz w:val="17"/>
              </w:rPr>
              <w:t>Agosto 2025</w:t>
            </w:r>
          </w:p>
        </w:tc>
        <w:tc>
          <w:tcPr>
            <w:tcW w:type="dxa" w:w="1584"/>
            <w:tcMar>
              <w:top w:w="70" w:type="dxa"/>
              <w:bottom w:w="70" w:type="dxa"/>
              <w:left w:w="90" w:type="dxa"/>
              <w:right w:w="90" w:type="dxa"/>
            </w:tcMar>
            <w:shd w:fill="F8FAFC"/>
          </w:tcPr>
          <w:p>
            <w:pPr>
              <w:jc w:val="right"/>
            </w:pPr>
            <w:r>
              <w:rPr>
                <w:rFonts w:ascii="Calibri" w:hAnsi="Calibri"/>
                <w:sz w:val="17"/>
              </w:rPr>
              <w:t>$85.000.000</w:t>
            </w:r>
          </w:p>
        </w:tc>
        <w:tc>
          <w:tcPr>
            <w:tcW w:type="dxa" w:w="1584"/>
            <w:tcMar>
              <w:top w:w="70" w:type="dxa"/>
              <w:bottom w:w="70" w:type="dxa"/>
              <w:left w:w="90" w:type="dxa"/>
              <w:right w:w="90" w:type="dxa"/>
            </w:tcMar>
            <w:shd w:fill="F8FAFC"/>
          </w:tcPr>
          <w:p>
            <w:pPr>
              <w:jc w:val="center"/>
            </w:pPr>
            <w:r>
              <w:rPr>
                <w:rFonts w:ascii="Calibri" w:hAnsi="Calibri"/>
                <w:sz w:val="17"/>
              </w:rPr>
              <w:t>27.20%</w:t>
            </w:r>
          </w:p>
        </w:tc>
        <w:tc>
          <w:tcPr>
            <w:tcW w:type="dxa" w:w="1584"/>
            <w:tcMar>
              <w:top w:w="70" w:type="dxa"/>
              <w:bottom w:w="70" w:type="dxa"/>
              <w:left w:w="90" w:type="dxa"/>
              <w:right w:w="90" w:type="dxa"/>
            </w:tcMar>
            <w:shd w:fill="F8FAFC"/>
          </w:tcPr>
          <w:p>
            <w:pPr>
              <w:jc w:val="right"/>
            </w:pPr>
            <w:r>
              <w:rPr>
                <w:rFonts w:ascii="Calibri" w:hAnsi="Calibri"/>
                <w:sz w:val="17"/>
              </w:rPr>
              <w:t>$1.708.500</w:t>
            </w:r>
          </w:p>
        </w:tc>
        <w:tc>
          <w:tcPr>
            <w:tcW w:type="dxa" w:w="1584"/>
            <w:tcMar>
              <w:top w:w="70" w:type="dxa"/>
              <w:bottom w:w="70" w:type="dxa"/>
              <w:left w:w="90" w:type="dxa"/>
              <w:right w:w="90" w:type="dxa"/>
            </w:tcMar>
            <w:shd w:fill="F8FAFC"/>
          </w:tcPr>
          <w:p>
            <w:pPr>
              <w:jc w:val="right"/>
            </w:pPr>
            <w:r>
              <w:rPr>
                <w:rFonts w:ascii="Calibri" w:hAnsi="Calibri"/>
                <w:sz w:val="17"/>
              </w:rPr>
              <w:t>$0</w:t>
            </w:r>
          </w:p>
        </w:tc>
        <w:tc>
          <w:tcPr>
            <w:tcW w:type="dxa" w:w="1872"/>
            <w:tcMar>
              <w:top w:w="70" w:type="dxa"/>
              <w:bottom w:w="70" w:type="dxa"/>
              <w:left w:w="90" w:type="dxa"/>
              <w:right w:w="90" w:type="dxa"/>
            </w:tcMar>
            <w:shd w:fill="F8FAFC"/>
          </w:tcPr>
          <w:p>
            <w:pPr>
              <w:jc w:val="right"/>
            </w:pPr>
            <w:r>
              <w:rPr>
                <w:rFonts w:ascii="Calibri" w:hAnsi="Calibri"/>
                <w:sz w:val="17"/>
              </w:rPr>
              <w:t>$91.526.000</w:t>
            </w:r>
          </w:p>
        </w:tc>
      </w:tr>
      <w:tr>
        <w:tc>
          <w:tcPr>
            <w:tcW w:type="dxa" w:w="1728"/>
            <w:tcMar>
              <w:top w:w="70" w:type="dxa"/>
              <w:bottom w:w="70" w:type="dxa"/>
              <w:left w:w="90" w:type="dxa"/>
              <w:right w:w="90" w:type="dxa"/>
            </w:tcMar>
            <w:shd w:fill="FFFFFF"/>
          </w:tcPr>
          <w:p>
            <w:pPr>
              <w:jc w:val="left"/>
            </w:pPr>
            <w:r>
              <w:rPr>
                <w:rFonts w:ascii="Calibri" w:hAnsi="Calibri"/>
                <w:sz w:val="17"/>
              </w:rPr>
              <w:t>Septiembre 2025</w:t>
            </w:r>
          </w:p>
        </w:tc>
        <w:tc>
          <w:tcPr>
            <w:tcW w:type="dxa" w:w="1584"/>
            <w:tcMar>
              <w:top w:w="70" w:type="dxa"/>
              <w:bottom w:w="70" w:type="dxa"/>
              <w:left w:w="90" w:type="dxa"/>
              <w:right w:w="90" w:type="dxa"/>
            </w:tcMar>
            <w:shd w:fill="FFFFFF"/>
          </w:tcPr>
          <w:p>
            <w:pPr>
              <w:jc w:val="right"/>
            </w:pPr>
            <w:r>
              <w:rPr>
                <w:rFonts w:ascii="Calibri" w:hAnsi="Calibri"/>
                <w:sz w:val="17"/>
              </w:rPr>
              <w:t>$85.000.000</w:t>
            </w:r>
          </w:p>
        </w:tc>
        <w:tc>
          <w:tcPr>
            <w:tcW w:type="dxa" w:w="1584"/>
            <w:tcMar>
              <w:top w:w="70" w:type="dxa"/>
              <w:bottom w:w="70" w:type="dxa"/>
              <w:left w:w="90" w:type="dxa"/>
              <w:right w:w="90" w:type="dxa"/>
            </w:tcMar>
            <w:shd w:fill="FFFFFF"/>
          </w:tcPr>
          <w:p>
            <w:pPr>
              <w:jc w:val="center"/>
            </w:pPr>
            <w:r>
              <w:rPr>
                <w:rFonts w:ascii="Calibri" w:hAnsi="Calibri"/>
                <w:sz w:val="17"/>
              </w:rPr>
              <w:t>27.00%</w:t>
            </w:r>
          </w:p>
        </w:tc>
        <w:tc>
          <w:tcPr>
            <w:tcW w:type="dxa" w:w="1584"/>
            <w:tcMar>
              <w:top w:w="70" w:type="dxa"/>
              <w:bottom w:w="70" w:type="dxa"/>
              <w:left w:w="90" w:type="dxa"/>
              <w:right w:w="90" w:type="dxa"/>
            </w:tcMar>
            <w:shd w:fill="FFFFFF"/>
          </w:tcPr>
          <w:p>
            <w:pPr>
              <w:jc w:val="right"/>
            </w:pPr>
            <w:r>
              <w:rPr>
                <w:rFonts w:ascii="Calibri" w:hAnsi="Calibri"/>
                <w:sz w:val="17"/>
              </w:rPr>
              <w:t>$1.700.000</w:t>
            </w:r>
          </w:p>
        </w:tc>
        <w:tc>
          <w:tcPr>
            <w:tcW w:type="dxa" w:w="1584"/>
            <w:tcMar>
              <w:top w:w="70" w:type="dxa"/>
              <w:bottom w:w="70" w:type="dxa"/>
              <w:left w:w="90" w:type="dxa"/>
              <w:right w:w="90" w:type="dxa"/>
            </w:tcMar>
            <w:shd w:fill="FFFFFF"/>
          </w:tcPr>
          <w:p>
            <w:pPr>
              <w:jc w:val="right"/>
            </w:pPr>
            <w:r>
              <w:rPr>
                <w:rFonts w:ascii="Calibri" w:hAnsi="Calibri"/>
                <w:sz w:val="17"/>
              </w:rPr>
              <w:t>$0</w:t>
            </w:r>
          </w:p>
        </w:tc>
        <w:tc>
          <w:tcPr>
            <w:tcW w:type="dxa" w:w="1872"/>
            <w:tcMar>
              <w:top w:w="70" w:type="dxa"/>
              <w:bottom w:w="70" w:type="dxa"/>
              <w:left w:w="90" w:type="dxa"/>
              <w:right w:w="90" w:type="dxa"/>
            </w:tcMar>
            <w:shd w:fill="FFFFFF"/>
          </w:tcPr>
          <w:p>
            <w:pPr>
              <w:jc w:val="right"/>
            </w:pPr>
            <w:r>
              <w:rPr>
                <w:rFonts w:ascii="Calibri" w:hAnsi="Calibri"/>
                <w:sz w:val="17"/>
              </w:rPr>
              <w:t>$93.226.000</w:t>
            </w:r>
          </w:p>
        </w:tc>
      </w:tr>
      <w:tr>
        <w:tc>
          <w:tcPr>
            <w:tcW w:type="dxa" w:w="1728"/>
            <w:tcMar>
              <w:top w:w="70" w:type="dxa"/>
              <w:bottom w:w="70" w:type="dxa"/>
              <w:left w:w="90" w:type="dxa"/>
              <w:right w:w="90" w:type="dxa"/>
            </w:tcMar>
            <w:shd w:fill="F8FAFC"/>
          </w:tcPr>
          <w:p>
            <w:pPr>
              <w:jc w:val="left"/>
            </w:pPr>
            <w:r>
              <w:rPr>
                <w:rFonts w:ascii="Calibri" w:hAnsi="Calibri"/>
                <w:sz w:val="17"/>
              </w:rPr>
              <w:t>Octubre 2025</w:t>
            </w:r>
          </w:p>
        </w:tc>
        <w:tc>
          <w:tcPr>
            <w:tcW w:type="dxa" w:w="1584"/>
            <w:tcMar>
              <w:top w:w="70" w:type="dxa"/>
              <w:bottom w:w="70" w:type="dxa"/>
              <w:left w:w="90" w:type="dxa"/>
              <w:right w:w="90" w:type="dxa"/>
            </w:tcMar>
            <w:shd w:fill="F8FAFC"/>
          </w:tcPr>
          <w:p>
            <w:pPr>
              <w:jc w:val="right"/>
            </w:pPr>
            <w:r>
              <w:rPr>
                <w:rFonts w:ascii="Calibri" w:hAnsi="Calibri"/>
                <w:sz w:val="17"/>
              </w:rPr>
              <w:t>$85.000.000</w:t>
            </w:r>
          </w:p>
        </w:tc>
        <w:tc>
          <w:tcPr>
            <w:tcW w:type="dxa" w:w="1584"/>
            <w:tcMar>
              <w:top w:w="70" w:type="dxa"/>
              <w:bottom w:w="70" w:type="dxa"/>
              <w:left w:w="90" w:type="dxa"/>
              <w:right w:w="90" w:type="dxa"/>
            </w:tcMar>
            <w:shd w:fill="F8FAFC"/>
          </w:tcPr>
          <w:p>
            <w:pPr>
              <w:jc w:val="center"/>
            </w:pPr>
            <w:r>
              <w:rPr>
                <w:rFonts w:ascii="Calibri" w:hAnsi="Calibri"/>
                <w:sz w:val="17"/>
              </w:rPr>
              <w:t>26.80%</w:t>
            </w:r>
          </w:p>
        </w:tc>
        <w:tc>
          <w:tcPr>
            <w:tcW w:type="dxa" w:w="1584"/>
            <w:tcMar>
              <w:top w:w="70" w:type="dxa"/>
              <w:bottom w:w="70" w:type="dxa"/>
              <w:left w:w="90" w:type="dxa"/>
              <w:right w:w="90" w:type="dxa"/>
            </w:tcMar>
            <w:shd w:fill="F8FAFC"/>
          </w:tcPr>
          <w:p>
            <w:pPr>
              <w:jc w:val="right"/>
            </w:pPr>
            <w:r>
              <w:rPr>
                <w:rFonts w:ascii="Calibri" w:hAnsi="Calibri"/>
                <w:sz w:val="17"/>
              </w:rPr>
              <w:t>$1.683.000</w:t>
            </w:r>
          </w:p>
        </w:tc>
        <w:tc>
          <w:tcPr>
            <w:tcW w:type="dxa" w:w="1584"/>
            <w:tcMar>
              <w:top w:w="70" w:type="dxa"/>
              <w:bottom w:w="70" w:type="dxa"/>
              <w:left w:w="90" w:type="dxa"/>
              <w:right w:w="90" w:type="dxa"/>
            </w:tcMar>
            <w:shd w:fill="F8FAFC"/>
          </w:tcPr>
          <w:p>
            <w:pPr>
              <w:jc w:val="right"/>
            </w:pPr>
            <w:r>
              <w:rPr>
                <w:rFonts w:ascii="Calibri" w:hAnsi="Calibri"/>
                <w:sz w:val="17"/>
              </w:rPr>
              <w:t>$0</w:t>
            </w:r>
          </w:p>
        </w:tc>
        <w:tc>
          <w:tcPr>
            <w:tcW w:type="dxa" w:w="1872"/>
            <w:tcMar>
              <w:top w:w="70" w:type="dxa"/>
              <w:bottom w:w="70" w:type="dxa"/>
              <w:left w:w="90" w:type="dxa"/>
              <w:right w:w="90" w:type="dxa"/>
            </w:tcMar>
            <w:shd w:fill="F8FAFC"/>
          </w:tcPr>
          <w:p>
            <w:pPr>
              <w:jc w:val="right"/>
            </w:pPr>
            <w:r>
              <w:rPr>
                <w:rFonts w:ascii="Calibri" w:hAnsi="Calibri"/>
                <w:sz w:val="17"/>
              </w:rPr>
              <w:t>$94.909.000</w:t>
            </w:r>
          </w:p>
        </w:tc>
      </w:tr>
      <w:tr>
        <w:tc>
          <w:tcPr>
            <w:tcW w:type="dxa" w:w="1728"/>
            <w:tcMar>
              <w:top w:w="70" w:type="dxa"/>
              <w:bottom w:w="70" w:type="dxa"/>
              <w:left w:w="90" w:type="dxa"/>
              <w:right w:w="90" w:type="dxa"/>
            </w:tcMar>
            <w:shd w:fill="FFFFFF"/>
          </w:tcPr>
          <w:p>
            <w:pPr>
              <w:jc w:val="left"/>
            </w:pPr>
            <w:r>
              <w:rPr>
                <w:rFonts w:ascii="Calibri" w:hAnsi="Calibri"/>
                <w:sz w:val="17"/>
              </w:rPr>
              <w:t>Noviembre 2025</w:t>
            </w:r>
          </w:p>
        </w:tc>
        <w:tc>
          <w:tcPr>
            <w:tcW w:type="dxa" w:w="1584"/>
            <w:tcMar>
              <w:top w:w="70" w:type="dxa"/>
              <w:bottom w:w="70" w:type="dxa"/>
              <w:left w:w="90" w:type="dxa"/>
              <w:right w:w="90" w:type="dxa"/>
            </w:tcMar>
            <w:shd w:fill="FFFFFF"/>
          </w:tcPr>
          <w:p>
            <w:pPr>
              <w:jc w:val="right"/>
            </w:pPr>
            <w:r>
              <w:rPr>
                <w:rFonts w:ascii="Calibri" w:hAnsi="Calibri"/>
                <w:sz w:val="17"/>
              </w:rPr>
              <w:t>$85.000.000</w:t>
            </w:r>
          </w:p>
        </w:tc>
        <w:tc>
          <w:tcPr>
            <w:tcW w:type="dxa" w:w="1584"/>
            <w:tcMar>
              <w:top w:w="70" w:type="dxa"/>
              <w:bottom w:w="70" w:type="dxa"/>
              <w:left w:w="90" w:type="dxa"/>
              <w:right w:w="90" w:type="dxa"/>
            </w:tcMar>
            <w:shd w:fill="FFFFFF"/>
          </w:tcPr>
          <w:p>
            <w:pPr>
              <w:jc w:val="center"/>
            </w:pPr>
            <w:r>
              <w:rPr>
                <w:rFonts w:ascii="Calibri" w:hAnsi="Calibri"/>
                <w:sz w:val="17"/>
              </w:rPr>
              <w:t>26.50%</w:t>
            </w:r>
          </w:p>
        </w:tc>
        <w:tc>
          <w:tcPr>
            <w:tcW w:type="dxa" w:w="1584"/>
            <w:tcMar>
              <w:top w:w="70" w:type="dxa"/>
              <w:bottom w:w="70" w:type="dxa"/>
              <w:left w:w="90" w:type="dxa"/>
              <w:right w:w="90" w:type="dxa"/>
            </w:tcMar>
            <w:shd w:fill="FFFFFF"/>
          </w:tcPr>
          <w:p>
            <w:pPr>
              <w:jc w:val="right"/>
            </w:pPr>
            <w:r>
              <w:rPr>
                <w:rFonts w:ascii="Calibri" w:hAnsi="Calibri"/>
                <w:sz w:val="17"/>
              </w:rPr>
              <w:t>$1.666.000</w:t>
            </w:r>
          </w:p>
        </w:tc>
        <w:tc>
          <w:tcPr>
            <w:tcW w:type="dxa" w:w="1584"/>
            <w:tcMar>
              <w:top w:w="70" w:type="dxa"/>
              <w:bottom w:w="70" w:type="dxa"/>
              <w:left w:w="90" w:type="dxa"/>
              <w:right w:w="90" w:type="dxa"/>
            </w:tcMar>
            <w:shd w:fill="FFFFFF"/>
          </w:tcPr>
          <w:p>
            <w:pPr>
              <w:jc w:val="right"/>
            </w:pPr>
            <w:r>
              <w:rPr>
                <w:rFonts w:ascii="Calibri" w:hAnsi="Calibri"/>
                <w:sz w:val="17"/>
              </w:rPr>
              <w:t>$0</w:t>
            </w:r>
          </w:p>
        </w:tc>
        <w:tc>
          <w:tcPr>
            <w:tcW w:type="dxa" w:w="1872"/>
            <w:tcMar>
              <w:top w:w="70" w:type="dxa"/>
              <w:bottom w:w="70" w:type="dxa"/>
              <w:left w:w="90" w:type="dxa"/>
              <w:right w:w="90" w:type="dxa"/>
            </w:tcMar>
            <w:shd w:fill="FFFFFF"/>
          </w:tcPr>
          <w:p>
            <w:pPr>
              <w:jc w:val="right"/>
            </w:pPr>
            <w:r>
              <w:rPr>
                <w:rFonts w:ascii="Calibri" w:hAnsi="Calibri"/>
                <w:sz w:val="17"/>
              </w:rPr>
              <w:t>$96.575.000</w:t>
            </w:r>
          </w:p>
        </w:tc>
      </w:tr>
      <w:tr>
        <w:tc>
          <w:tcPr>
            <w:tcW w:type="dxa" w:w="1728"/>
            <w:tcMar>
              <w:top w:w="70" w:type="dxa"/>
              <w:bottom w:w="70" w:type="dxa"/>
              <w:left w:w="90" w:type="dxa"/>
              <w:right w:w="90" w:type="dxa"/>
            </w:tcMar>
            <w:shd w:fill="F8FAFC"/>
          </w:tcPr>
          <w:p>
            <w:pPr>
              <w:jc w:val="left"/>
            </w:pPr>
            <w:r>
              <w:rPr>
                <w:rFonts w:ascii="Calibri" w:hAnsi="Calibri"/>
                <w:sz w:val="17"/>
              </w:rPr>
              <w:t>Diciembre 2025</w:t>
            </w:r>
          </w:p>
        </w:tc>
        <w:tc>
          <w:tcPr>
            <w:tcW w:type="dxa" w:w="1584"/>
            <w:tcMar>
              <w:top w:w="70" w:type="dxa"/>
              <w:bottom w:w="70" w:type="dxa"/>
              <w:left w:w="90" w:type="dxa"/>
              <w:right w:w="90" w:type="dxa"/>
            </w:tcMar>
            <w:shd w:fill="F8FAFC"/>
          </w:tcPr>
          <w:p>
            <w:pPr>
              <w:jc w:val="right"/>
            </w:pPr>
            <w:r>
              <w:rPr>
                <w:rFonts w:ascii="Calibri" w:hAnsi="Calibri"/>
                <w:sz w:val="17"/>
              </w:rPr>
              <w:t>$85.000.000</w:t>
            </w:r>
          </w:p>
        </w:tc>
        <w:tc>
          <w:tcPr>
            <w:tcW w:type="dxa" w:w="1584"/>
            <w:tcMar>
              <w:top w:w="70" w:type="dxa"/>
              <w:bottom w:w="70" w:type="dxa"/>
              <w:left w:w="90" w:type="dxa"/>
              <w:right w:w="90" w:type="dxa"/>
            </w:tcMar>
            <w:shd w:fill="F8FAFC"/>
          </w:tcPr>
          <w:p>
            <w:pPr>
              <w:jc w:val="center"/>
            </w:pPr>
            <w:r>
              <w:rPr>
                <w:rFonts w:ascii="Calibri" w:hAnsi="Calibri"/>
                <w:sz w:val="17"/>
              </w:rPr>
              <w:t>26.30%</w:t>
            </w:r>
          </w:p>
        </w:tc>
        <w:tc>
          <w:tcPr>
            <w:tcW w:type="dxa" w:w="1584"/>
            <w:tcMar>
              <w:top w:w="70" w:type="dxa"/>
              <w:bottom w:w="70" w:type="dxa"/>
              <w:left w:w="90" w:type="dxa"/>
              <w:right w:w="90" w:type="dxa"/>
            </w:tcMar>
            <w:shd w:fill="F8FAFC"/>
          </w:tcPr>
          <w:p>
            <w:pPr>
              <w:jc w:val="right"/>
            </w:pPr>
            <w:r>
              <w:rPr>
                <w:rFonts w:ascii="Calibri" w:hAnsi="Calibri"/>
                <w:sz w:val="17"/>
              </w:rPr>
              <w:t>$1.657.500</w:t>
            </w:r>
          </w:p>
        </w:tc>
        <w:tc>
          <w:tcPr>
            <w:tcW w:type="dxa" w:w="1584"/>
            <w:tcMar>
              <w:top w:w="70" w:type="dxa"/>
              <w:bottom w:w="70" w:type="dxa"/>
              <w:left w:w="90" w:type="dxa"/>
              <w:right w:w="90" w:type="dxa"/>
            </w:tcMar>
            <w:shd w:fill="F8FAFC"/>
          </w:tcPr>
          <w:p>
            <w:pPr>
              <w:jc w:val="right"/>
            </w:pPr>
            <w:r>
              <w:rPr>
                <w:rFonts w:ascii="Calibri" w:hAnsi="Calibri"/>
                <w:sz w:val="17"/>
              </w:rPr>
              <w:t>-$10.000.000</w:t>
            </w:r>
          </w:p>
        </w:tc>
        <w:tc>
          <w:tcPr>
            <w:tcW w:type="dxa" w:w="1872"/>
            <w:tcMar>
              <w:top w:w="70" w:type="dxa"/>
              <w:bottom w:w="70" w:type="dxa"/>
              <w:left w:w="90" w:type="dxa"/>
              <w:right w:w="90" w:type="dxa"/>
            </w:tcMar>
            <w:shd w:fill="F8FAFC"/>
          </w:tcPr>
          <w:p>
            <w:pPr>
              <w:jc w:val="right"/>
            </w:pPr>
            <w:r>
              <w:rPr>
                <w:rFonts w:ascii="Calibri" w:hAnsi="Calibri"/>
                <w:sz w:val="17"/>
              </w:rPr>
              <w:t>$88.232.500</w:t>
            </w:r>
          </w:p>
        </w:tc>
      </w:tr>
      <w:tr>
        <w:tc>
          <w:tcPr>
            <w:tcW w:type="dxa" w:w="1728"/>
            <w:tcMar>
              <w:top w:w="70" w:type="dxa"/>
              <w:bottom w:w="70" w:type="dxa"/>
              <w:left w:w="90" w:type="dxa"/>
              <w:right w:w="90" w:type="dxa"/>
            </w:tcMar>
            <w:shd w:fill="FFFFFF"/>
          </w:tcPr>
          <w:p>
            <w:pPr>
              <w:jc w:val="left"/>
            </w:pPr>
            <w:r>
              <w:rPr>
                <w:rFonts w:ascii="Calibri" w:hAnsi="Calibri"/>
                <w:sz w:val="17"/>
              </w:rPr>
              <w:t>Enero-Sep 2026</w:t>
            </w:r>
          </w:p>
        </w:tc>
        <w:tc>
          <w:tcPr>
            <w:tcW w:type="dxa" w:w="1584"/>
            <w:tcMar>
              <w:top w:w="70" w:type="dxa"/>
              <w:bottom w:w="70" w:type="dxa"/>
              <w:left w:w="90" w:type="dxa"/>
              <w:right w:w="90" w:type="dxa"/>
            </w:tcMar>
            <w:shd w:fill="FFFFFF"/>
          </w:tcPr>
          <w:p>
            <w:pPr>
              <w:jc w:val="right"/>
            </w:pPr>
            <w:r>
              <w:rPr>
                <w:rFonts w:ascii="Calibri" w:hAnsi="Calibri"/>
                <w:sz w:val="17"/>
              </w:rPr>
              <w:t>$85.000.000</w:t>
            </w:r>
          </w:p>
        </w:tc>
        <w:tc>
          <w:tcPr>
            <w:tcW w:type="dxa" w:w="1584"/>
            <w:tcMar>
              <w:top w:w="70" w:type="dxa"/>
              <w:bottom w:w="70" w:type="dxa"/>
              <w:left w:w="90" w:type="dxa"/>
              <w:right w:w="90" w:type="dxa"/>
            </w:tcMar>
            <w:shd w:fill="FFFFFF"/>
          </w:tcPr>
          <w:p>
            <w:pPr>
              <w:jc w:val="center"/>
            </w:pPr>
            <w:r>
              <w:rPr>
                <w:rFonts w:ascii="Calibri" w:hAnsi="Calibri"/>
                <w:sz w:val="17"/>
              </w:rPr>
              <w:t>Prom. 24.8%</w:t>
            </w:r>
          </w:p>
        </w:tc>
        <w:tc>
          <w:tcPr>
            <w:tcW w:type="dxa" w:w="1584"/>
            <w:tcMar>
              <w:top w:w="70" w:type="dxa"/>
              <w:bottom w:w="70" w:type="dxa"/>
              <w:left w:w="90" w:type="dxa"/>
              <w:right w:w="90" w:type="dxa"/>
            </w:tcMar>
            <w:shd w:fill="FFFFFF"/>
          </w:tcPr>
          <w:p>
            <w:pPr>
              <w:jc w:val="right"/>
            </w:pPr>
            <w:r>
              <w:rPr>
                <w:rFonts w:ascii="Calibri" w:hAnsi="Calibri"/>
                <w:sz w:val="17"/>
              </w:rPr>
              <w:t>$8.185.250</w:t>
            </w:r>
          </w:p>
        </w:tc>
        <w:tc>
          <w:tcPr>
            <w:tcW w:type="dxa" w:w="1584"/>
            <w:tcMar>
              <w:top w:w="70" w:type="dxa"/>
              <w:bottom w:w="70" w:type="dxa"/>
              <w:left w:w="90" w:type="dxa"/>
              <w:right w:w="90" w:type="dxa"/>
            </w:tcMar>
            <w:shd w:fill="FFFFFF"/>
          </w:tcPr>
          <w:p>
            <w:pPr>
              <w:jc w:val="right"/>
            </w:pPr>
            <w:r>
              <w:rPr>
                <w:rFonts w:ascii="Calibri" w:hAnsi="Calibri"/>
                <w:sz w:val="17"/>
              </w:rPr>
              <w:t>$0</w:t>
            </w:r>
          </w:p>
        </w:tc>
        <w:tc>
          <w:tcPr>
            <w:tcW w:type="dxa" w:w="1872"/>
            <w:tcMar>
              <w:top w:w="70" w:type="dxa"/>
              <w:bottom w:w="70" w:type="dxa"/>
              <w:left w:w="90" w:type="dxa"/>
              <w:right w:w="90" w:type="dxa"/>
            </w:tcMar>
            <w:shd w:fill="FFFFFF"/>
          </w:tcPr>
          <w:p>
            <w:pPr>
              <w:jc w:val="right"/>
            </w:pPr>
            <w:r>
              <w:rPr>
                <w:rFonts w:ascii="Calibri" w:hAnsi="Calibri"/>
                <w:sz w:val="17"/>
              </w:rPr>
              <w:t>$96.418.750</w:t>
            </w:r>
          </w:p>
        </w:tc>
      </w:tr>
      <w:tr>
        <w:tc>
          <w:tcPr>
            <w:tcW w:type="dxa" w:w="1728"/>
            <w:tcMar>
              <w:top w:w="70" w:type="dxa"/>
              <w:bottom w:w="70" w:type="dxa"/>
              <w:left w:w="90" w:type="dxa"/>
              <w:right w:w="90" w:type="dxa"/>
            </w:tcMar>
            <w:shd w:fill="ECFDF5"/>
          </w:tcPr>
          <w:p>
            <w:pPr>
              <w:jc w:val="left"/>
            </w:pPr>
            <w:r>
              <w:rPr>
                <w:rFonts w:ascii="Calibri" w:hAnsi="Calibri"/>
                <w:b/>
                <w:color w:val="065F46"/>
                <w:sz w:val="17"/>
              </w:rPr>
              <w:t>TOTALES</w:t>
            </w:r>
          </w:p>
        </w:tc>
        <w:tc>
          <w:tcPr>
            <w:tcW w:type="dxa" w:w="1584"/>
            <w:tcMar>
              <w:top w:w="70" w:type="dxa"/>
              <w:bottom w:w="70" w:type="dxa"/>
              <w:left w:w="90" w:type="dxa"/>
              <w:right w:w="90" w:type="dxa"/>
            </w:tcMar>
            <w:shd w:fill="ECFDF5"/>
          </w:tcPr>
          <w:p>
            <w:pPr>
              <w:jc w:val="right"/>
            </w:pPr>
            <w:r>
              <w:rPr>
                <w:rFonts w:ascii="Calibri" w:hAnsi="Calibri"/>
                <w:b/>
                <w:color w:val="065F46"/>
                <w:sz w:val="17"/>
              </w:rPr>
              <w:t>$85.000.000</w:t>
            </w:r>
          </w:p>
        </w:tc>
        <w:tc>
          <w:tcPr>
            <w:tcW w:type="dxa" w:w="1584"/>
            <w:tcMar>
              <w:top w:w="70" w:type="dxa"/>
              <w:bottom w:w="70" w:type="dxa"/>
              <w:left w:w="90" w:type="dxa"/>
              <w:right w:w="90" w:type="dxa"/>
            </w:tcMar>
            <w:shd w:fill="ECFDF5"/>
          </w:tcPr>
          <w:p>
            <w:pPr>
              <w:jc w:val="center"/>
            </w:pPr>
            <w:r>
              <w:rPr>
                <w:rFonts w:ascii="Calibri" w:hAnsi="Calibri"/>
                <w:b/>
                <w:color w:val="065F46"/>
                <w:sz w:val="17"/>
              </w:rPr>
              <w:t>Control Usura OK</w:t>
            </w:r>
          </w:p>
        </w:tc>
        <w:tc>
          <w:tcPr>
            <w:tcW w:type="dxa" w:w="1584"/>
            <w:tcMar>
              <w:top w:w="70" w:type="dxa"/>
              <w:bottom w:w="70" w:type="dxa"/>
              <w:left w:w="90" w:type="dxa"/>
              <w:right w:w="90" w:type="dxa"/>
            </w:tcMar>
            <w:shd w:fill="ECFDF5"/>
          </w:tcPr>
          <w:p>
            <w:pPr>
              <w:jc w:val="right"/>
            </w:pPr>
            <w:r>
              <w:rPr>
                <w:rFonts w:ascii="Calibri" w:hAnsi="Calibri"/>
                <w:b/>
                <w:color w:val="065F46"/>
                <w:sz w:val="17"/>
              </w:rPr>
              <w:t>$26.418.750</w:t>
            </w:r>
          </w:p>
        </w:tc>
        <w:tc>
          <w:tcPr>
            <w:tcW w:type="dxa" w:w="1584"/>
            <w:tcMar>
              <w:top w:w="70" w:type="dxa"/>
              <w:bottom w:w="70" w:type="dxa"/>
              <w:left w:w="90" w:type="dxa"/>
              <w:right w:w="90" w:type="dxa"/>
            </w:tcMar>
            <w:shd w:fill="ECFDF5"/>
          </w:tcPr>
          <w:p>
            <w:pPr>
              <w:jc w:val="right"/>
            </w:pPr>
            <w:r>
              <w:rPr>
                <w:rFonts w:ascii="Calibri" w:hAnsi="Calibri"/>
                <w:b/>
                <w:color w:val="065F46"/>
                <w:sz w:val="17"/>
              </w:rPr>
              <w:t>-$15.000.000</w:t>
            </w:r>
          </w:p>
        </w:tc>
        <w:tc>
          <w:tcPr>
            <w:tcW w:type="dxa" w:w="1872"/>
            <w:tcMar>
              <w:top w:w="70" w:type="dxa"/>
              <w:bottom w:w="70" w:type="dxa"/>
              <w:left w:w="90" w:type="dxa"/>
              <w:right w:w="90" w:type="dxa"/>
            </w:tcMar>
            <w:shd w:fill="ECFDF5"/>
          </w:tcPr>
          <w:p>
            <w:pPr>
              <w:jc w:val="right"/>
            </w:pPr>
            <w:r>
              <w:rPr>
                <w:rFonts w:ascii="Calibri" w:hAnsi="Calibri"/>
                <w:b/>
                <w:color w:val="065F46"/>
                <w:sz w:val="17"/>
              </w:rPr>
              <w:t>$96.418.750 COP</w:t>
            </w:r>
          </w:p>
        </w:tc>
      </w:tr>
    </w:tbl>
    <w:p/>
    <w:p>
      <w:r>
        <w:rPr>
          <w:rFonts w:ascii="Calibri" w:hAnsi="Calibri"/>
          <w:b/>
          <w:color w:val="0F172A"/>
          <w:sz w:val="22"/>
        </w:rPr>
        <w:t>V. FUNDAMENTOS DE DERECHO</w:t>
        <w:br/>
      </w:r>
    </w:p>
    <w:p>
      <w:pPr>
        <w:spacing w:line="276" w:lineRule="auto"/>
        <w:jc w:val="both"/>
      </w:pPr>
      <w:r>
        <w:rPr>
          <w:rFonts w:ascii="Calibri" w:hAnsi="Calibri"/>
          <w:sz w:val="19"/>
        </w:rPr>
        <w:t>Invoco como fundamentos jurídicos de la presente acción los artículos 621, 622, 709 y 884 del Código de Comercio; artículo 1653 del Código Civil; artículos 82, 90, 422, 430 y 599 del Código General del Proceso; artículo 72 de la Ley 45 de 1990; Ley 2213 de 2022 y las resoluciones de certificación de tasas emitidas periódicamente por la Superintendencia Financiera de Colombia.</w:t>
      </w:r>
    </w:p>
    <w:p>
      <w:r>
        <w:rPr>
          <w:rFonts w:ascii="Calibri" w:hAnsi="Calibri"/>
          <w:b/>
          <w:color w:val="0F172A"/>
          <w:sz w:val="22"/>
        </w:rPr>
        <w:t>VI. CUANTÍA Y COMPETENCIA</w:t>
        <w:br/>
      </w:r>
    </w:p>
    <w:p>
      <w:pPr>
        <w:spacing w:line="276" w:lineRule="auto"/>
        <w:jc w:val="both"/>
      </w:pPr>
      <w:r>
        <w:rPr>
          <w:rFonts w:ascii="Calibri" w:hAnsi="Calibri"/>
          <w:sz w:val="19"/>
        </w:rPr>
        <w:t>Por la naturaleza del asunto, el domicilio contractual de la demandada y la cuantía, la cual estimo en la suma de NOVENTA Y SEIS MILLONES CUATROCIENTOS DIECIOCHO MIL SETECIENTOS CINCUENTA PESOS M/CTE ($96.418.750 COP), correspondiente al capital más los intereses liquidados a la fecha, es usted competente, señor Juez, para conocer y decidir este proceso en primera instancia.</w:t>
      </w:r>
    </w:p>
    <w:p/>
    <w:p>
      <w:pPr>
        <w:spacing w:line="276" w:lineRule="auto"/>
      </w:pPr>
      <w:r>
        <w:rPr>
          <w:rFonts w:ascii="Consolas" w:hAnsi="Consolas"/>
          <w:color w:val="1E293B"/>
          <w:sz w:val="17"/>
        </w:rPr>
        <w:t>Del señor Juez,</w:t>
        <w:br/>
        <w:br/>
        <w:br/>
        <w:t>_____________________________________________________</w:t>
        <w:br/>
        <w:t>MANUEL ENRIQUE PRADA FORERO</w:t>
        <w:br/>
        <w:t>C.C. 91.278.456 de Bucaramanga</w:t>
        <w:br/>
        <w:t>T.P. No. 176.633 del C.S. de la Judicatura</w:t>
        <w:br/>
        <w:t>Apoderado Especial · BANCO COMERCIAL DE COLOMBIA S.A.</w:t>
        <w:br/>
        <w:t>Contacto Judicial: legal@abogado.guanes.biz</w:t>
        <w:br/>
        <w:br/>
        <w:t>=====================================================</w:t>
        <w:br/>
        <w:t>SELLO CRIPTOGRÁFICO SHA-256 DE CONTROL DETERMINISTA:</w:t>
        <w:br/>
        <w:t>7556571EBA54C661B7F759F8AF63F56FE7A61E4EEBACDCA6695DD5AE1449908D</w:t>
        <w:br/>
        <w:t>Estampa Temporal UTC: 2026-09-26 22:46:21 UTC</w:t>
        <w:br/>
        <w:t>=====================================================</w:t>
      </w:r>
    </w:p>
    <w:sectPr w:rsidR="00FC693F" w:rsidRPr="0006063C" w:rsidSect="00034616">
      <w:pgSz w:w="12240" w:h="15840"/>
      <w:pgMar w:top="1411" w:right="1411" w:bottom="1411"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